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Tool Suitability Matrix for a Well Formed Mind</w:t>
      </w:r>
    </w:p>
    <w:p>
      <w:pPr>
        <w:pStyle w:val="Subtitle"/>
      </w:pPr>
      <w:r>
        <w:t>Practical guidance for schools universities teachers parents and students</w:t>
      </w:r>
    </w:p>
    <w:p>
      <w:pPr>
        <w:pStyle w:val="Deck"/>
      </w:pPr>
      <w:r>
        <w:rPr>
          <w:b/>
        </w:rPr>
        <w:t>Investigation case file  |  September 2026</w:t>
      </w:r>
    </w:p>
    <w:p>
      <w:pPr>
        <w:pStyle w:val="Heading1"/>
      </w:pPr>
      <w:r>
        <w:t>Main finding</w:t>
      </w:r>
    </w:p>
    <w:p>
      <w:r>
        <w:t>The strongest educational fit does not belong to one brand. It belongs to a mode of use. AI is most compatible with a well-formed mind when it asks the learner to reason, stays bounded to inspectable sources, makes assistance visible to a teacher or parent, and is followed by independent performance. AI is least compatible when it supplies finished answers, substitutes for relationships, or removes the productive effort through which knowledge and judgment develop.</w:t>
      </w:r>
    </w:p>
    <w:p>
      <w:pPr>
        <w:pStyle w:val="Heading2"/>
      </w:pPr>
      <w:r>
        <w:t>Recommended order of preference</w:t>
      </w:r>
    </w:p>
    <w:p>
      <w:pPr>
        <w:pStyle w:val="ListBullet"/>
        <w:spacing w:after="48"/>
        <w:ind w:left="331" w:hanging="202"/>
      </w:pPr>
      <w:r>
        <w:t>Human teaching and independent effort remain the foundation.</w:t>
      </w:r>
    </w:p>
    <w:p>
      <w:pPr>
        <w:pStyle w:val="ListBullet"/>
        <w:spacing w:after="48"/>
        <w:ind w:left="331" w:hanging="202"/>
      </w:pPr>
      <w:r>
        <w:t>Source-bounded tools help students examine defined materials and trace claims.</w:t>
      </w:r>
    </w:p>
    <w:p>
      <w:pPr>
        <w:pStyle w:val="ListBullet"/>
        <w:spacing w:after="48"/>
        <w:ind w:left="331" w:hanging="202"/>
      </w:pPr>
      <w:r>
        <w:t>Guided tutors ask questions, reveal hints gradually, and keep the learner responsible for the solution.</w:t>
      </w:r>
    </w:p>
    <w:p>
      <w:pPr>
        <w:pStyle w:val="ListBullet"/>
        <w:spacing w:after="48"/>
        <w:ind w:left="331" w:hanging="202"/>
      </w:pPr>
      <w:r>
        <w:t>General assistants support critique, comparison, and revision only after the learner has attempted the work.</w:t>
      </w:r>
    </w:p>
    <w:p>
      <w:pPr>
        <w:pStyle w:val="ListBullet"/>
        <w:spacing w:after="48"/>
        <w:ind w:left="331" w:hanging="202"/>
      </w:pPr>
      <w:r>
        <w:t>Answer generators, AI companions, and automated surveillance do not qualify as ordinary educational substitutes.</w:t>
      </w:r>
    </w:p>
    <w:p>
      <w:pPr>
        <w:pStyle w:val="Heading2"/>
      </w:pPr>
      <w:r>
        <w:t>What the matrix evaluates</w:t>
      </w:r>
    </w:p>
    <w:tbl>
      <w:tblPr>
        <w:tblW w:type="auto" w:w="0"/>
        <w:jc w:val="center"/>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5112"/>
        <w:gridCol w:w="5112"/>
      </w:tblGrid>
      <w:tr>
        <w:trPr>
          <w:tblHeader w:val="true"/>
          <w:cantSplit/>
        </w:trPr>
        <w:tc>
          <w:tcPr>
            <w:tcW w:type="dxa" w:w="2520"/>
            <w:shd w:fill="18364F"/>
            <w:tcMar>
              <w:top w:w="80" w:type="dxa"/>
              <w:start w:w="85" w:type="dxa"/>
              <w:bottom w:w="80" w:type="dxa"/>
              <w:end w:w="85" w:type="dxa"/>
            </w:tcMar>
            <w:vAlign w:val="center"/>
          </w:tcPr>
          <w:p>
            <w:pPr>
              <w:spacing w:after="0"/>
              <w:jc w:val="left"/>
            </w:pPr>
            <w:r>
              <w:rPr>
                <w:b/>
                <w:color w:val="FFFFFF"/>
                <w:sz w:val="16"/>
              </w:rPr>
              <w:t>Area</w:t>
            </w:r>
          </w:p>
        </w:tc>
        <w:tc>
          <w:tcPr>
            <w:tcW w:type="dxa" w:w="7992"/>
            <w:shd w:fill="18364F"/>
            <w:tcMar>
              <w:top w:w="80" w:type="dxa"/>
              <w:start w:w="85" w:type="dxa"/>
              <w:bottom w:w="80" w:type="dxa"/>
              <w:end w:w="85" w:type="dxa"/>
            </w:tcMar>
            <w:vAlign w:val="center"/>
          </w:tcPr>
          <w:p>
            <w:pPr>
              <w:spacing w:after="0"/>
              <w:jc w:val="left"/>
            </w:pPr>
            <w:r>
              <w:rPr>
                <w:b/>
                <w:color w:val="FFFFFF"/>
                <w:sz w:val="16"/>
              </w:rPr>
              <w:t>Question</w:t>
            </w:r>
          </w:p>
        </w:tc>
      </w:tr>
      <w:tr>
        <w:trPr>
          <w:cantSplit/>
        </w:trPr>
        <w:tc>
          <w:tcPr>
            <w:tcW w:type="dxa" w:w="2520"/>
            <w:tcMar>
              <w:top w:w="80" w:type="dxa"/>
              <w:start w:w="85" w:type="dxa"/>
              <w:bottom w:w="80" w:type="dxa"/>
              <w:end w:w="85" w:type="dxa"/>
            </w:tcMar>
            <w:vAlign w:val="center"/>
          </w:tcPr>
          <w:p>
            <w:pPr>
              <w:spacing w:after="0" w:line="250" w:lineRule="auto"/>
              <w:jc w:val="left"/>
            </w:pPr>
            <w:r>
              <w:rPr>
                <w:color w:val="262B30"/>
                <w:sz w:val="16"/>
              </w:rPr>
              <w:t>Intellectual formation</w:t>
            </w:r>
          </w:p>
        </w:tc>
        <w:tc>
          <w:tcPr>
            <w:tcW w:type="dxa" w:w="7992"/>
            <w:tcMar>
              <w:top w:w="80" w:type="dxa"/>
              <w:start w:w="85" w:type="dxa"/>
              <w:bottom w:w="80" w:type="dxa"/>
              <w:end w:w="85" w:type="dxa"/>
            </w:tcMar>
            <w:vAlign w:val="center"/>
          </w:tcPr>
          <w:p>
            <w:pPr>
              <w:spacing w:after="0" w:line="250" w:lineRule="auto"/>
              <w:jc w:val="left"/>
            </w:pPr>
            <w:r>
              <w:rPr>
                <w:color w:val="262B30"/>
                <w:sz w:val="16"/>
              </w:rPr>
              <w:t>Does the tool strengthen memory, reasoning, expression, curiosity, and judgment?</w:t>
            </w:r>
          </w:p>
        </w:tc>
      </w:tr>
      <w:tr>
        <w:trPr>
          <w:cantSplit/>
        </w:trPr>
        <w:tc>
          <w:tcPr>
            <w:tcW w:type="dxa" w:w="2520"/>
            <w:tcMar>
              <w:top w:w="80" w:type="dxa"/>
              <w:start w:w="85" w:type="dxa"/>
              <w:bottom w:w="80" w:type="dxa"/>
              <w:end w:w="85" w:type="dxa"/>
            </w:tcMar>
            <w:vAlign w:val="center"/>
            <w:shd w:fill="F3F5F7"/>
          </w:tcPr>
          <w:p>
            <w:pPr>
              <w:spacing w:after="0" w:line="250" w:lineRule="auto"/>
              <w:jc w:val="left"/>
            </w:pPr>
            <w:r>
              <w:rPr>
                <w:color w:val="262B30"/>
                <w:sz w:val="16"/>
              </w:rPr>
              <w:t>Educational control</w:t>
            </w:r>
          </w:p>
        </w:tc>
        <w:tc>
          <w:tcPr>
            <w:tcW w:type="dxa" w:w="7992"/>
            <w:tcMar>
              <w:top w:w="80" w:type="dxa"/>
              <w:start w:w="85" w:type="dxa"/>
              <w:bottom w:w="80" w:type="dxa"/>
              <w:end w:w="85" w:type="dxa"/>
            </w:tcMar>
            <w:vAlign w:val="center"/>
            <w:shd w:fill="F3F5F7"/>
          </w:tcPr>
          <w:p>
            <w:pPr>
              <w:spacing w:after="0" w:line="250" w:lineRule="auto"/>
              <w:jc w:val="left"/>
            </w:pPr>
            <w:r>
              <w:rPr>
                <w:color w:val="262B30"/>
                <w:sz w:val="16"/>
              </w:rPr>
              <w:t>Can teachers and parents set the purpose, sources, boundaries, and visibility?</w:t>
            </w:r>
          </w:p>
        </w:tc>
      </w:tr>
      <w:tr>
        <w:trPr>
          <w:cantSplit/>
        </w:trPr>
        <w:tc>
          <w:tcPr>
            <w:tcW w:type="dxa" w:w="2520"/>
            <w:tcMar>
              <w:top w:w="80" w:type="dxa"/>
              <w:start w:w="85" w:type="dxa"/>
              <w:bottom w:w="80" w:type="dxa"/>
              <w:end w:w="85" w:type="dxa"/>
            </w:tcMar>
            <w:vAlign w:val="center"/>
          </w:tcPr>
          <w:p>
            <w:pPr>
              <w:spacing w:after="0" w:line="250" w:lineRule="auto"/>
              <w:jc w:val="left"/>
            </w:pPr>
            <w:r>
              <w:rPr>
                <w:color w:val="262B30"/>
                <w:sz w:val="16"/>
              </w:rPr>
              <w:t>Truth and verification</w:t>
            </w:r>
          </w:p>
        </w:tc>
        <w:tc>
          <w:tcPr>
            <w:tcW w:type="dxa" w:w="7992"/>
            <w:tcMar>
              <w:top w:w="80" w:type="dxa"/>
              <w:start w:w="85" w:type="dxa"/>
              <w:bottom w:w="80" w:type="dxa"/>
              <w:end w:w="85" w:type="dxa"/>
            </w:tcMar>
            <w:vAlign w:val="center"/>
          </w:tcPr>
          <w:p>
            <w:pPr>
              <w:spacing w:after="0" w:line="250" w:lineRule="auto"/>
              <w:jc w:val="left"/>
            </w:pPr>
            <w:r>
              <w:rPr>
                <w:color w:val="262B30"/>
                <w:sz w:val="16"/>
              </w:rPr>
              <w:t>Can the learner inspect sources, identify uncertainty, and test the output?</w:t>
            </w:r>
          </w:p>
        </w:tc>
      </w:tr>
      <w:tr>
        <w:trPr>
          <w:cantSplit/>
        </w:trPr>
        <w:tc>
          <w:tcPr>
            <w:tcW w:type="dxa" w:w="2520"/>
            <w:tcMar>
              <w:top w:w="80" w:type="dxa"/>
              <w:start w:w="85" w:type="dxa"/>
              <w:bottom w:w="80" w:type="dxa"/>
              <w:end w:w="85" w:type="dxa"/>
            </w:tcMar>
            <w:vAlign w:val="center"/>
            <w:shd w:fill="F3F5F7"/>
          </w:tcPr>
          <w:p>
            <w:pPr>
              <w:spacing w:after="0" w:line="250" w:lineRule="auto"/>
              <w:jc w:val="left"/>
            </w:pPr>
            <w:r>
              <w:rPr>
                <w:color w:val="262B30"/>
                <w:sz w:val="16"/>
              </w:rPr>
              <w:t>Human development</w:t>
            </w:r>
          </w:p>
        </w:tc>
        <w:tc>
          <w:tcPr>
            <w:tcW w:type="dxa" w:w="7992"/>
            <w:tcMar>
              <w:top w:w="80" w:type="dxa"/>
              <w:start w:w="85" w:type="dxa"/>
              <w:bottom w:w="80" w:type="dxa"/>
              <w:end w:w="85" w:type="dxa"/>
            </w:tcMar>
            <w:vAlign w:val="center"/>
            <w:shd w:fill="F3F5F7"/>
          </w:tcPr>
          <w:p>
            <w:pPr>
              <w:spacing w:after="0" w:line="250" w:lineRule="auto"/>
              <w:jc w:val="left"/>
            </w:pPr>
            <w:r>
              <w:rPr>
                <w:color w:val="262B30"/>
                <w:sz w:val="16"/>
              </w:rPr>
              <w:t>Does use preserve attention, relationships, responsibility, and mental fitness?</w:t>
            </w:r>
          </w:p>
        </w:tc>
      </w:tr>
      <w:tr>
        <w:trPr>
          <w:cantSplit/>
        </w:trPr>
        <w:tc>
          <w:tcPr>
            <w:tcW w:type="dxa" w:w="2520"/>
            <w:tcMar>
              <w:top w:w="80" w:type="dxa"/>
              <w:start w:w="85" w:type="dxa"/>
              <w:bottom w:w="80" w:type="dxa"/>
              <w:end w:w="85" w:type="dxa"/>
            </w:tcMar>
            <w:vAlign w:val="center"/>
          </w:tcPr>
          <w:p>
            <w:pPr>
              <w:spacing w:after="0" w:line="250" w:lineRule="auto"/>
              <w:jc w:val="left"/>
            </w:pPr>
            <w:r>
              <w:rPr>
                <w:color w:val="262B30"/>
                <w:sz w:val="16"/>
              </w:rPr>
              <w:t>Governance</w:t>
            </w:r>
          </w:p>
        </w:tc>
        <w:tc>
          <w:tcPr>
            <w:tcW w:type="dxa" w:w="7992"/>
            <w:tcMar>
              <w:top w:w="80" w:type="dxa"/>
              <w:start w:w="85" w:type="dxa"/>
              <w:bottom w:w="80" w:type="dxa"/>
              <w:end w:w="85" w:type="dxa"/>
            </w:tcMar>
            <w:vAlign w:val="center"/>
          </w:tcPr>
          <w:p>
            <w:pPr>
              <w:spacing w:after="0" w:line="250" w:lineRule="auto"/>
              <w:jc w:val="left"/>
            </w:pPr>
            <w:r>
              <w:rPr>
                <w:color w:val="262B30"/>
                <w:sz w:val="16"/>
              </w:rPr>
              <w:t>Are age limits, privacy, data use, access, and accountability clear?</w:t>
            </w:r>
          </w:p>
        </w:tc>
      </w:tr>
      <w:tr>
        <w:trPr>
          <w:cantSplit/>
        </w:trPr>
        <w:tc>
          <w:tcPr>
            <w:tcW w:type="dxa" w:w="2520"/>
            <w:tcMar>
              <w:top w:w="80" w:type="dxa"/>
              <w:start w:w="85" w:type="dxa"/>
              <w:bottom w:w="80" w:type="dxa"/>
              <w:end w:w="85" w:type="dxa"/>
            </w:tcMar>
            <w:vAlign w:val="center"/>
            <w:shd w:fill="F3F5F7"/>
          </w:tcPr>
          <w:p>
            <w:pPr>
              <w:spacing w:after="0" w:line="250" w:lineRule="auto"/>
              <w:jc w:val="left"/>
            </w:pPr>
            <w:r>
              <w:rPr>
                <w:color w:val="262B30"/>
                <w:sz w:val="16"/>
              </w:rPr>
              <w:t>Evidence</w:t>
            </w:r>
          </w:p>
        </w:tc>
        <w:tc>
          <w:tcPr>
            <w:tcW w:type="dxa" w:w="7992"/>
            <w:tcMar>
              <w:top w:w="80" w:type="dxa"/>
              <w:start w:w="85" w:type="dxa"/>
              <w:bottom w:w="80" w:type="dxa"/>
              <w:end w:w="85" w:type="dxa"/>
            </w:tcMar>
            <w:vAlign w:val="center"/>
            <w:shd w:fill="F3F5F7"/>
          </w:tcPr>
          <w:p>
            <w:pPr>
              <w:spacing w:after="0" w:line="250" w:lineRule="auto"/>
              <w:jc w:val="left"/>
            </w:pPr>
            <w:r>
              <w:rPr>
                <w:color w:val="262B30"/>
                <w:sz w:val="16"/>
              </w:rPr>
              <w:t>Do measured outcomes support the educational claim?</w:t>
            </w:r>
          </w:p>
        </w:tc>
      </w:tr>
    </w:tbl>
    <w:p>
      <w:pPr>
        <w:spacing w:after="0"/>
      </w:pPr>
    </w:p>
    <w:p>
      <w:r>
        <w:t>This is a suitability judgment, not a permanent product ranking. Features, prices, policies, and models change. Schools should reassess products before procurement and should test learning outcomes after deployment.</w:t>
      </w:r>
    </w:p>
    <w:p>
      <w:r>
        <w:br w:type="page"/>
      </w:r>
    </w:p>
    <w:p>
      <w:pPr>
        <w:pStyle w:val="Heading1"/>
      </w:pPr>
      <w:r>
        <w:t>1  Evidence that governs the recommendations</w:t>
      </w:r>
    </w:p>
    <w:p>
      <w:r>
        <w:t>Current evidence supports a conditional conclusion. Generative AI can improve practice performance and access to feedback, but the same tool can weaken unaided performance when students use it as a shortcut. Design and supervision determine whether AI functions as a tutor or a crutch.</w:t>
      </w:r>
    </w:p>
    <w:p>
      <w:pPr>
        <w:pStyle w:val="Heading2"/>
      </w:pPr>
      <w:r>
        <w:t>Guardrails change the result</w:t>
      </w:r>
    </w:p>
    <w:p>
      <w:pPr>
        <w:spacing w:after="80"/>
      </w:pPr>
      <w:r>
        <w:rPr>
          <w:b/>
          <w:color w:val="000000"/>
        </w:rPr>
        <w:t xml:space="preserve">Strong evidence: </w:t>
      </w:r>
      <w:r>
        <w:t>A large field experiment in high-school mathematics found that unrestricted GPT-4 access improved practice performance but harmed later unaided performance. A guarded tutor version designed to withhold direct answers avoided the same damage. The published title states the central result: generative AI without guardrails can harm learning.</w:t>
      </w:r>
    </w:p>
    <w:p>
      <w:pPr>
        <w:spacing w:after="80"/>
      </w:pPr>
      <w:r>
        <w:rPr>
          <w:b/>
          <w:color w:val="000000"/>
        </w:rPr>
        <w:t xml:space="preserve">Implication: </w:t>
      </w:r>
      <w:r>
        <w:t>A school should not treat access to a capable model as an educational intervention. It must specify how the model behaves, what the learner must do, and how independent mastery will be tested.</w:t>
      </w:r>
    </w:p>
    <w:p>
      <w:pPr>
        <w:pStyle w:val="Heading2"/>
      </w:pPr>
      <w:r>
        <w:t>Human support remains decisive</w:t>
      </w:r>
    </w:p>
    <w:p>
      <w:pPr>
        <w:spacing w:after="80"/>
      </w:pPr>
      <w:r>
        <w:rPr>
          <w:b/>
          <w:color w:val="000000"/>
        </w:rPr>
        <w:t xml:space="preserve">Experimental evidence: </w:t>
      </w:r>
      <w:r>
        <w:t>Tutor CoPilot supplied real-time AI guidance to human tutors in a randomized trial involving 900 tutors and 1,800 K-12 students. Students working with supported tutors were 4 percentage points more likely to master topics; the gain reached 9 percentage points for students assigned to lower-rated tutors.</w:t>
      </w:r>
    </w:p>
    <w:p>
      <w:pPr>
        <w:spacing w:after="80"/>
      </w:pPr>
      <w:r>
        <w:rPr>
          <w:b/>
          <w:color w:val="000000"/>
        </w:rPr>
        <w:t xml:space="preserve">Recent evidence: </w:t>
      </w:r>
      <w:r>
        <w:t>Stanford SCALE reports that access alone is insufficient and that human support improves engagement with AI tutoring. Its 2026 review warns that adoption is moving faster than causal evidence across contexts.</w:t>
      </w:r>
    </w:p>
    <w:p>
      <w:pPr>
        <w:spacing w:after="80"/>
      </w:pPr>
      <w:r>
        <w:rPr>
          <w:b/>
          <w:color w:val="000000"/>
        </w:rPr>
        <w:t xml:space="preserve">Implication: </w:t>
      </w:r>
      <w:r>
        <w:t>The best current case is AI strengthening the teacher, tutor, or parent. Evidence is weaker for replacing that person.</w:t>
      </w:r>
    </w:p>
    <w:p>
      <w:pPr>
        <w:pStyle w:val="Heading2"/>
      </w:pPr>
      <w:r>
        <w:t>How students use the tool matters</w:t>
      </w:r>
    </w:p>
    <w:p>
      <w:r>
        <w:t>A 2026 randomized experiment found gains when students used AI to explain concepts, while short-run advantages from automating the writing task did not persist in the same way. Another study of mathematical proof found better homework performance but no significant exam gain. These results support delayed, unaided assessment and process-level evidence rather than judging the visible product alone.</w:t>
      </w:r>
    </w:p>
    <w:p>
      <w:pPr>
        <w:pStyle w:val="Heading2"/>
      </w:pPr>
      <w:r>
        <w:t>Evidence limits</w:t>
      </w:r>
    </w:p>
    <w:p>
      <w:pPr>
        <w:pStyle w:val="ListBullet"/>
        <w:spacing w:after="48"/>
        <w:ind w:left="331" w:hanging="202"/>
      </w:pPr>
      <w:r>
        <w:t>Many vendor studies measure adoption, satisfaction, time saved, or conversation features instead of delayed learning.</w:t>
      </w:r>
    </w:p>
    <w:p>
      <w:pPr>
        <w:pStyle w:val="ListBullet"/>
        <w:spacing w:after="48"/>
        <w:ind w:left="331" w:hanging="202"/>
      </w:pPr>
      <w:r>
        <w:t>A product may have strong privacy controls and still be educationally unsuitable for a particular task.</w:t>
      </w:r>
    </w:p>
    <w:p>
      <w:pPr>
        <w:pStyle w:val="ListBullet"/>
        <w:spacing w:after="48"/>
        <w:ind w:left="331" w:hanging="202"/>
      </w:pPr>
      <w:r>
        <w:t>A feature described as Socratic should be tested against actual conversations and unaided outcomes.</w:t>
      </w:r>
    </w:p>
    <w:p>
      <w:r>
        <w:br w:type="page"/>
      </w:r>
    </w:p>
    <w:p>
      <w:pPr>
        <w:pStyle w:val="Heading1"/>
      </w:pPr>
      <w:r>
        <w:t>2  Suitability standard</w:t>
      </w:r>
    </w:p>
    <w:tbl>
      <w:tblPr>
        <w:tblW w:type="auto" w:w="0"/>
        <w:jc w:val="center"/>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408"/>
        <w:gridCol w:w="3408"/>
        <w:gridCol w:w="3408"/>
      </w:tblGrid>
      <w:tr>
        <w:trPr>
          <w:tblHeader w:val="true"/>
          <w:cantSplit/>
        </w:trPr>
        <w:tc>
          <w:tcPr>
            <w:tcW w:type="dxa" w:w="2232"/>
            <w:shd w:fill="18364F"/>
            <w:tcMar>
              <w:top w:w="80" w:type="dxa"/>
              <w:start w:w="85" w:type="dxa"/>
              <w:bottom w:w="80" w:type="dxa"/>
              <w:end w:w="85" w:type="dxa"/>
            </w:tcMar>
            <w:vAlign w:val="center"/>
          </w:tcPr>
          <w:p>
            <w:pPr>
              <w:spacing w:after="0"/>
              <w:jc w:val="left"/>
            </w:pPr>
            <w:r>
              <w:rPr>
                <w:b/>
                <w:color w:val="FFFFFF"/>
                <w:sz w:val="15"/>
              </w:rPr>
              <w:t>Dimension</w:t>
            </w:r>
          </w:p>
        </w:tc>
        <w:tc>
          <w:tcPr>
            <w:tcW w:type="dxa" w:w="4104"/>
            <w:shd w:fill="18364F"/>
            <w:tcMar>
              <w:top w:w="80" w:type="dxa"/>
              <w:start w:w="85" w:type="dxa"/>
              <w:bottom w:w="80" w:type="dxa"/>
              <w:end w:w="85" w:type="dxa"/>
            </w:tcMar>
            <w:vAlign w:val="center"/>
          </w:tcPr>
          <w:p>
            <w:pPr>
              <w:spacing w:after="0"/>
              <w:jc w:val="left"/>
            </w:pPr>
            <w:r>
              <w:rPr>
                <w:b/>
                <w:color w:val="FFFFFF"/>
                <w:sz w:val="15"/>
              </w:rPr>
              <w:t>Strong fit</w:t>
            </w:r>
          </w:p>
        </w:tc>
        <w:tc>
          <w:tcPr>
            <w:tcW w:type="dxa" w:w="4248"/>
            <w:shd w:fill="18364F"/>
            <w:tcMar>
              <w:top w:w="80" w:type="dxa"/>
              <w:start w:w="85" w:type="dxa"/>
              <w:bottom w:w="80" w:type="dxa"/>
              <w:end w:w="85" w:type="dxa"/>
            </w:tcMar>
            <w:vAlign w:val="center"/>
          </w:tcPr>
          <w:p>
            <w:pPr>
              <w:spacing w:after="0"/>
              <w:jc w:val="left"/>
            </w:pPr>
            <w:r>
              <w:rPr>
                <w:b/>
                <w:color w:val="FFFFFF"/>
                <w:sz w:val="15"/>
              </w:rPr>
              <w:t>Warning sign</w:t>
            </w:r>
          </w:p>
        </w:tc>
      </w:tr>
      <w:tr>
        <w:trPr>
          <w:cantSplit/>
        </w:trPr>
        <w:tc>
          <w:tcPr>
            <w:tcW w:type="dxa" w:w="2232"/>
            <w:tcMar>
              <w:top w:w="80" w:type="dxa"/>
              <w:start w:w="85" w:type="dxa"/>
              <w:bottom w:w="80" w:type="dxa"/>
              <w:end w:w="85" w:type="dxa"/>
            </w:tcMar>
            <w:vAlign w:val="center"/>
          </w:tcPr>
          <w:p>
            <w:pPr>
              <w:spacing w:after="0" w:line="250" w:lineRule="auto"/>
              <w:jc w:val="left"/>
            </w:pPr>
            <w:r>
              <w:rPr>
                <w:color w:val="262B30"/>
                <w:sz w:val="15"/>
              </w:rPr>
              <w:t>Learning purpose</w:t>
            </w:r>
          </w:p>
        </w:tc>
        <w:tc>
          <w:tcPr>
            <w:tcW w:type="dxa" w:w="4104"/>
            <w:tcMar>
              <w:top w:w="80" w:type="dxa"/>
              <w:start w:w="85" w:type="dxa"/>
              <w:bottom w:w="80" w:type="dxa"/>
              <w:end w:w="85" w:type="dxa"/>
            </w:tcMar>
            <w:vAlign w:val="center"/>
          </w:tcPr>
          <w:p>
            <w:pPr>
              <w:spacing w:after="0" w:line="250" w:lineRule="auto"/>
              <w:jc w:val="left"/>
            </w:pPr>
            <w:r>
              <w:rPr>
                <w:color w:val="262B30"/>
                <w:sz w:val="15"/>
              </w:rPr>
              <w:t>The teacher states the capability being developed and why AI helps.</w:t>
            </w:r>
          </w:p>
        </w:tc>
        <w:tc>
          <w:tcPr>
            <w:tcW w:type="dxa" w:w="4248"/>
            <w:tcMar>
              <w:top w:w="80" w:type="dxa"/>
              <w:start w:w="85" w:type="dxa"/>
              <w:bottom w:w="80" w:type="dxa"/>
              <w:end w:w="85" w:type="dxa"/>
            </w:tcMar>
            <w:vAlign w:val="center"/>
          </w:tcPr>
          <w:p>
            <w:pPr>
              <w:spacing w:after="0" w:line="250" w:lineRule="auto"/>
              <w:jc w:val="left"/>
            </w:pPr>
            <w:r>
              <w:rPr>
                <w:color w:val="262B30"/>
                <w:sz w:val="15"/>
              </w:rPr>
              <w:t>The tool is introduced because it is available or popular.</w:t>
            </w:r>
          </w:p>
        </w:tc>
      </w:tr>
      <w:tr>
        <w:trPr>
          <w:cantSplit/>
        </w:trPr>
        <w:tc>
          <w:tcPr>
            <w:tcW w:type="dxa" w:w="2232"/>
            <w:tcMar>
              <w:top w:w="80" w:type="dxa"/>
              <w:start w:w="85" w:type="dxa"/>
              <w:bottom w:w="80" w:type="dxa"/>
              <w:end w:w="85" w:type="dxa"/>
            </w:tcMar>
            <w:vAlign w:val="center"/>
            <w:shd w:fill="F3F5F7"/>
          </w:tcPr>
          <w:p>
            <w:pPr>
              <w:spacing w:after="0" w:line="250" w:lineRule="auto"/>
              <w:jc w:val="left"/>
            </w:pPr>
            <w:r>
              <w:rPr>
                <w:color w:val="262B30"/>
                <w:sz w:val="15"/>
              </w:rPr>
              <w:t>Independent thought</w:t>
            </w:r>
          </w:p>
        </w:tc>
        <w:tc>
          <w:tcPr>
            <w:tcW w:type="dxa" w:w="4104"/>
            <w:tcMar>
              <w:top w:w="80" w:type="dxa"/>
              <w:start w:w="85" w:type="dxa"/>
              <w:bottom w:w="80" w:type="dxa"/>
              <w:end w:w="85" w:type="dxa"/>
            </w:tcMar>
            <w:vAlign w:val="center"/>
            <w:shd w:fill="F3F5F7"/>
          </w:tcPr>
          <w:p>
            <w:pPr>
              <w:spacing w:after="0" w:line="250" w:lineRule="auto"/>
              <w:jc w:val="left"/>
            </w:pPr>
            <w:r>
              <w:rPr>
                <w:color w:val="262B30"/>
                <w:sz w:val="15"/>
              </w:rPr>
              <w:t>The learner attempts, predicts, explains, revises, and defends.</w:t>
            </w:r>
          </w:p>
        </w:tc>
        <w:tc>
          <w:tcPr>
            <w:tcW w:type="dxa" w:w="4248"/>
            <w:tcMar>
              <w:top w:w="80" w:type="dxa"/>
              <w:start w:w="85" w:type="dxa"/>
              <w:bottom w:w="80" w:type="dxa"/>
              <w:end w:w="85" w:type="dxa"/>
            </w:tcMar>
            <w:vAlign w:val="center"/>
            <w:shd w:fill="F3F5F7"/>
          </w:tcPr>
          <w:p>
            <w:pPr>
              <w:spacing w:after="0" w:line="250" w:lineRule="auto"/>
              <w:jc w:val="left"/>
            </w:pPr>
            <w:r>
              <w:rPr>
                <w:color w:val="262B30"/>
                <w:sz w:val="15"/>
              </w:rPr>
              <w:t>The learner copies, accepts, or lightly edits a finished response.</w:t>
            </w:r>
          </w:p>
        </w:tc>
      </w:tr>
      <w:tr>
        <w:trPr>
          <w:cantSplit/>
        </w:trPr>
        <w:tc>
          <w:tcPr>
            <w:tcW w:type="dxa" w:w="2232"/>
            <w:tcMar>
              <w:top w:w="80" w:type="dxa"/>
              <w:start w:w="85" w:type="dxa"/>
              <w:bottom w:w="80" w:type="dxa"/>
              <w:end w:w="85" w:type="dxa"/>
            </w:tcMar>
            <w:vAlign w:val="center"/>
          </w:tcPr>
          <w:p>
            <w:pPr>
              <w:spacing w:after="0" w:line="250" w:lineRule="auto"/>
              <w:jc w:val="left"/>
            </w:pPr>
            <w:r>
              <w:rPr>
                <w:color w:val="262B30"/>
                <w:sz w:val="15"/>
              </w:rPr>
              <w:t>Foundational knowledge</w:t>
            </w:r>
          </w:p>
        </w:tc>
        <w:tc>
          <w:tcPr>
            <w:tcW w:type="dxa" w:w="4104"/>
            <w:tcMar>
              <w:top w:w="80" w:type="dxa"/>
              <w:start w:w="85" w:type="dxa"/>
              <w:bottom w:w="80" w:type="dxa"/>
              <w:end w:w="85" w:type="dxa"/>
            </w:tcMar>
            <w:vAlign w:val="center"/>
          </w:tcPr>
          <w:p>
            <w:pPr>
              <w:spacing w:after="0" w:line="250" w:lineRule="auto"/>
              <w:jc w:val="left"/>
            </w:pPr>
            <w:r>
              <w:rPr>
                <w:color w:val="262B30"/>
                <w:sz w:val="15"/>
              </w:rPr>
              <w:t>AI follows protected reading, memory, writing, mathematics, or disciplinary practice.</w:t>
            </w:r>
          </w:p>
        </w:tc>
        <w:tc>
          <w:tcPr>
            <w:tcW w:type="dxa" w:w="4248"/>
            <w:tcMar>
              <w:top w:w="80" w:type="dxa"/>
              <w:start w:w="85" w:type="dxa"/>
              <w:bottom w:w="80" w:type="dxa"/>
              <w:end w:w="85" w:type="dxa"/>
            </w:tcMar>
            <w:vAlign w:val="center"/>
          </w:tcPr>
          <w:p>
            <w:pPr>
              <w:spacing w:after="0" w:line="250" w:lineRule="auto"/>
              <w:jc w:val="left"/>
            </w:pPr>
            <w:r>
              <w:rPr>
                <w:color w:val="262B30"/>
                <w:sz w:val="15"/>
              </w:rPr>
              <w:t>AI performs the practice before the learner has acquired the underlying skill.</w:t>
            </w:r>
          </w:p>
        </w:tc>
      </w:tr>
      <w:tr>
        <w:trPr>
          <w:cantSplit/>
        </w:trPr>
        <w:tc>
          <w:tcPr>
            <w:tcW w:type="dxa" w:w="2232"/>
            <w:tcMar>
              <w:top w:w="80" w:type="dxa"/>
              <w:start w:w="85" w:type="dxa"/>
              <w:bottom w:w="80" w:type="dxa"/>
              <w:end w:w="85" w:type="dxa"/>
            </w:tcMar>
            <w:vAlign w:val="center"/>
            <w:shd w:fill="F3F5F7"/>
          </w:tcPr>
          <w:p>
            <w:pPr>
              <w:spacing w:after="0" w:line="250" w:lineRule="auto"/>
              <w:jc w:val="left"/>
            </w:pPr>
            <w:r>
              <w:rPr>
                <w:color w:val="262B30"/>
                <w:sz w:val="15"/>
              </w:rPr>
              <w:t>Truth and sources</w:t>
            </w:r>
          </w:p>
        </w:tc>
        <w:tc>
          <w:tcPr>
            <w:tcW w:type="dxa" w:w="4104"/>
            <w:tcMar>
              <w:top w:w="80" w:type="dxa"/>
              <w:start w:w="85" w:type="dxa"/>
              <w:bottom w:w="80" w:type="dxa"/>
              <w:end w:w="85" w:type="dxa"/>
            </w:tcMar>
            <w:vAlign w:val="center"/>
            <w:shd w:fill="F3F5F7"/>
          </w:tcPr>
          <w:p>
            <w:pPr>
              <w:spacing w:after="0" w:line="250" w:lineRule="auto"/>
              <w:jc w:val="left"/>
            </w:pPr>
            <w:r>
              <w:rPr>
                <w:color w:val="262B30"/>
                <w:sz w:val="15"/>
              </w:rPr>
              <w:t>Claims link to inspectable sources and require verification.</w:t>
            </w:r>
          </w:p>
        </w:tc>
        <w:tc>
          <w:tcPr>
            <w:tcW w:type="dxa" w:w="4248"/>
            <w:tcMar>
              <w:top w:w="80" w:type="dxa"/>
              <w:start w:w="85" w:type="dxa"/>
              <w:bottom w:w="80" w:type="dxa"/>
              <w:end w:w="85" w:type="dxa"/>
            </w:tcMar>
            <w:vAlign w:val="center"/>
            <w:shd w:fill="F3F5F7"/>
          </w:tcPr>
          <w:p>
            <w:pPr>
              <w:spacing w:after="0" w:line="250" w:lineRule="auto"/>
              <w:jc w:val="left"/>
            </w:pPr>
            <w:r>
              <w:rPr>
                <w:color w:val="262B30"/>
                <w:sz w:val="15"/>
              </w:rPr>
              <w:t>Fluent output is accepted as evidence.</w:t>
            </w:r>
          </w:p>
        </w:tc>
      </w:tr>
      <w:tr>
        <w:trPr>
          <w:cantSplit/>
        </w:trPr>
        <w:tc>
          <w:tcPr>
            <w:tcW w:type="dxa" w:w="2232"/>
            <w:tcMar>
              <w:top w:w="80" w:type="dxa"/>
              <w:start w:w="85" w:type="dxa"/>
              <w:bottom w:w="80" w:type="dxa"/>
              <w:end w:w="85" w:type="dxa"/>
            </w:tcMar>
            <w:vAlign w:val="center"/>
          </w:tcPr>
          <w:p>
            <w:pPr>
              <w:spacing w:after="0" w:line="250" w:lineRule="auto"/>
              <w:jc w:val="left"/>
            </w:pPr>
            <w:r>
              <w:rPr>
                <w:color w:val="262B30"/>
                <w:sz w:val="15"/>
              </w:rPr>
              <w:t>Teacher or parent control</w:t>
            </w:r>
          </w:p>
        </w:tc>
        <w:tc>
          <w:tcPr>
            <w:tcW w:type="dxa" w:w="4104"/>
            <w:tcMar>
              <w:top w:w="80" w:type="dxa"/>
              <w:start w:w="85" w:type="dxa"/>
              <w:bottom w:w="80" w:type="dxa"/>
              <w:end w:w="85" w:type="dxa"/>
            </w:tcMar>
            <w:vAlign w:val="center"/>
          </w:tcPr>
          <w:p>
            <w:pPr>
              <w:spacing w:after="0" w:line="250" w:lineRule="auto"/>
              <w:jc w:val="left"/>
            </w:pPr>
            <w:r>
              <w:rPr>
                <w:color w:val="262B30"/>
                <w:sz w:val="15"/>
              </w:rPr>
              <w:t>Adults can set sources, behavior, duration, records, and escalation.</w:t>
            </w:r>
          </w:p>
        </w:tc>
        <w:tc>
          <w:tcPr>
            <w:tcW w:type="dxa" w:w="4248"/>
            <w:tcMar>
              <w:top w:w="80" w:type="dxa"/>
              <w:start w:w="85" w:type="dxa"/>
              <w:bottom w:w="80" w:type="dxa"/>
              <w:end w:w="85" w:type="dxa"/>
            </w:tcMar>
            <w:vAlign w:val="center"/>
          </w:tcPr>
          <w:p>
            <w:pPr>
              <w:spacing w:after="0" w:line="250" w:lineRule="auto"/>
              <w:jc w:val="left"/>
            </w:pPr>
            <w:r>
              <w:rPr>
                <w:color w:val="262B30"/>
                <w:sz w:val="15"/>
              </w:rPr>
              <w:t>The student uses a consumer account beyond meaningful oversight.</w:t>
            </w:r>
          </w:p>
        </w:tc>
      </w:tr>
      <w:tr>
        <w:trPr>
          <w:cantSplit/>
        </w:trPr>
        <w:tc>
          <w:tcPr>
            <w:tcW w:type="dxa" w:w="2232"/>
            <w:tcMar>
              <w:top w:w="80" w:type="dxa"/>
              <w:start w:w="85" w:type="dxa"/>
              <w:bottom w:w="80" w:type="dxa"/>
              <w:end w:w="85" w:type="dxa"/>
            </w:tcMar>
            <w:vAlign w:val="center"/>
            <w:shd w:fill="F3F5F7"/>
          </w:tcPr>
          <w:p>
            <w:pPr>
              <w:spacing w:after="0" w:line="250" w:lineRule="auto"/>
              <w:jc w:val="left"/>
            </w:pPr>
            <w:r>
              <w:rPr>
                <w:color w:val="262B30"/>
                <w:sz w:val="15"/>
              </w:rPr>
              <w:t>Privacy</w:t>
            </w:r>
          </w:p>
        </w:tc>
        <w:tc>
          <w:tcPr>
            <w:tcW w:type="dxa" w:w="4104"/>
            <w:tcMar>
              <w:top w:w="80" w:type="dxa"/>
              <w:start w:w="85" w:type="dxa"/>
              <w:bottom w:w="80" w:type="dxa"/>
              <w:end w:w="85" w:type="dxa"/>
            </w:tcMar>
            <w:vAlign w:val="center"/>
            <w:shd w:fill="F3F5F7"/>
          </w:tcPr>
          <w:p>
            <w:pPr>
              <w:spacing w:after="0" w:line="250" w:lineRule="auto"/>
              <w:jc w:val="left"/>
            </w:pPr>
            <w:r>
              <w:rPr>
                <w:color w:val="262B30"/>
                <w:sz w:val="15"/>
              </w:rPr>
              <w:t>A school contract limits data use, retention, training, advertising, and third parties.</w:t>
            </w:r>
          </w:p>
        </w:tc>
        <w:tc>
          <w:tcPr>
            <w:tcW w:type="dxa" w:w="4248"/>
            <w:tcMar>
              <w:top w:w="80" w:type="dxa"/>
              <w:start w:w="85" w:type="dxa"/>
              <w:bottom w:w="80" w:type="dxa"/>
              <w:end w:w="85" w:type="dxa"/>
            </w:tcMar>
            <w:vAlign w:val="center"/>
            <w:shd w:fill="F3F5F7"/>
          </w:tcPr>
          <w:p>
            <w:pPr>
              <w:spacing w:after="0" w:line="250" w:lineRule="auto"/>
              <w:jc w:val="left"/>
            </w:pPr>
            <w:r>
              <w:rPr>
                <w:color w:val="262B30"/>
                <w:sz w:val="15"/>
              </w:rPr>
              <w:t>Personal, medical, disciplinary, or confidential data enters an unapproved system.</w:t>
            </w:r>
          </w:p>
        </w:tc>
      </w:tr>
      <w:tr>
        <w:trPr>
          <w:cantSplit/>
        </w:trPr>
        <w:tc>
          <w:tcPr>
            <w:tcW w:type="dxa" w:w="2232"/>
            <w:tcMar>
              <w:top w:w="80" w:type="dxa"/>
              <w:start w:w="85" w:type="dxa"/>
              <w:bottom w:w="80" w:type="dxa"/>
              <w:end w:w="85" w:type="dxa"/>
            </w:tcMar>
            <w:vAlign w:val="center"/>
          </w:tcPr>
          <w:p>
            <w:pPr>
              <w:spacing w:after="0" w:line="250" w:lineRule="auto"/>
              <w:jc w:val="left"/>
            </w:pPr>
            <w:r>
              <w:rPr>
                <w:color w:val="262B30"/>
                <w:sz w:val="15"/>
              </w:rPr>
              <w:t>Age and development</w:t>
            </w:r>
          </w:p>
        </w:tc>
        <w:tc>
          <w:tcPr>
            <w:tcW w:type="dxa" w:w="4104"/>
            <w:tcMar>
              <w:top w:w="80" w:type="dxa"/>
              <w:start w:w="85" w:type="dxa"/>
              <w:bottom w:w="80" w:type="dxa"/>
              <w:end w:w="85" w:type="dxa"/>
            </w:tcMar>
            <w:vAlign w:val="center"/>
          </w:tcPr>
          <w:p>
            <w:pPr>
              <w:spacing w:after="0" w:line="250" w:lineRule="auto"/>
              <w:jc w:val="left"/>
            </w:pPr>
            <w:r>
              <w:rPr>
                <w:color w:val="262B30"/>
                <w:sz w:val="15"/>
              </w:rPr>
              <w:t>Use matches the learner’s stage and preserves direct experience and conversation.</w:t>
            </w:r>
          </w:p>
        </w:tc>
        <w:tc>
          <w:tcPr>
            <w:tcW w:type="dxa" w:w="4248"/>
            <w:tcMar>
              <w:top w:w="80" w:type="dxa"/>
              <w:start w:w="85" w:type="dxa"/>
              <w:bottom w:w="80" w:type="dxa"/>
              <w:end w:w="85" w:type="dxa"/>
            </w:tcMar>
            <w:vAlign w:val="center"/>
          </w:tcPr>
          <w:p>
            <w:pPr>
              <w:spacing w:after="0" w:line="250" w:lineRule="auto"/>
              <w:jc w:val="left"/>
            </w:pPr>
            <w:r>
              <w:rPr>
                <w:color w:val="262B30"/>
                <w:sz w:val="15"/>
              </w:rPr>
              <w:t>Younger children form habits around constant machine mediation.</w:t>
            </w:r>
          </w:p>
        </w:tc>
      </w:tr>
      <w:tr>
        <w:trPr>
          <w:cantSplit/>
        </w:trPr>
        <w:tc>
          <w:tcPr>
            <w:tcW w:type="dxa" w:w="2232"/>
            <w:tcMar>
              <w:top w:w="80" w:type="dxa"/>
              <w:start w:w="85" w:type="dxa"/>
              <w:bottom w:w="80" w:type="dxa"/>
              <w:end w:w="85" w:type="dxa"/>
            </w:tcMar>
            <w:vAlign w:val="center"/>
            <w:shd w:fill="F3F5F7"/>
          </w:tcPr>
          <w:p>
            <w:pPr>
              <w:spacing w:after="0" w:line="250" w:lineRule="auto"/>
              <w:jc w:val="left"/>
            </w:pPr>
            <w:r>
              <w:rPr>
                <w:color w:val="262B30"/>
                <w:sz w:val="15"/>
              </w:rPr>
              <w:t>Mental fitness</w:t>
            </w:r>
          </w:p>
        </w:tc>
        <w:tc>
          <w:tcPr>
            <w:tcW w:type="dxa" w:w="4104"/>
            <w:tcMar>
              <w:top w:w="80" w:type="dxa"/>
              <w:start w:w="85" w:type="dxa"/>
              <w:bottom w:w="80" w:type="dxa"/>
              <w:end w:w="85" w:type="dxa"/>
            </w:tcMar>
            <w:vAlign w:val="center"/>
            <w:shd w:fill="F3F5F7"/>
          </w:tcPr>
          <w:p>
            <w:pPr>
              <w:spacing w:after="0" w:line="250" w:lineRule="auto"/>
              <w:jc w:val="left"/>
            </w:pPr>
            <w:r>
              <w:rPr>
                <w:color w:val="262B30"/>
                <w:sz w:val="15"/>
              </w:rPr>
              <w:t>Use is bounded and followed by human or offline activity.</w:t>
            </w:r>
          </w:p>
        </w:tc>
        <w:tc>
          <w:tcPr>
            <w:tcW w:type="dxa" w:w="4248"/>
            <w:tcMar>
              <w:top w:w="80" w:type="dxa"/>
              <w:start w:w="85" w:type="dxa"/>
              <w:bottom w:w="80" w:type="dxa"/>
              <w:end w:w="85" w:type="dxa"/>
            </w:tcMar>
            <w:vAlign w:val="center"/>
            <w:shd w:fill="F3F5F7"/>
          </w:tcPr>
          <w:p>
            <w:pPr>
              <w:spacing w:after="0" w:line="250" w:lineRule="auto"/>
              <w:jc w:val="left"/>
            </w:pPr>
            <w:r>
              <w:rPr>
                <w:color w:val="262B30"/>
                <w:sz w:val="15"/>
              </w:rPr>
              <w:t>The tool increases isolation, dependency, distraction, or compulsive use.</w:t>
            </w:r>
          </w:p>
        </w:tc>
      </w:tr>
      <w:tr>
        <w:trPr>
          <w:cantSplit/>
        </w:trPr>
        <w:tc>
          <w:tcPr>
            <w:tcW w:type="dxa" w:w="2232"/>
            <w:tcMar>
              <w:top w:w="80" w:type="dxa"/>
              <w:start w:w="85" w:type="dxa"/>
              <w:bottom w:w="80" w:type="dxa"/>
              <w:end w:w="85" w:type="dxa"/>
            </w:tcMar>
            <w:vAlign w:val="center"/>
          </w:tcPr>
          <w:p>
            <w:pPr>
              <w:spacing w:after="0" w:line="250" w:lineRule="auto"/>
              <w:jc w:val="left"/>
            </w:pPr>
            <w:r>
              <w:rPr>
                <w:color w:val="262B30"/>
                <w:sz w:val="15"/>
              </w:rPr>
              <w:t>Assessment</w:t>
            </w:r>
          </w:p>
        </w:tc>
        <w:tc>
          <w:tcPr>
            <w:tcW w:type="dxa" w:w="4104"/>
            <w:tcMar>
              <w:top w:w="80" w:type="dxa"/>
              <w:start w:w="85" w:type="dxa"/>
              <w:bottom w:w="80" w:type="dxa"/>
              <w:end w:w="85" w:type="dxa"/>
            </w:tcMar>
            <w:vAlign w:val="center"/>
          </w:tcPr>
          <w:p>
            <w:pPr>
              <w:spacing w:after="0" w:line="250" w:lineRule="auto"/>
              <w:jc w:val="left"/>
            </w:pPr>
            <w:r>
              <w:rPr>
                <w:color w:val="262B30"/>
                <w:sz w:val="15"/>
              </w:rPr>
              <w:t>Students later perform without AI and disclose the process.</w:t>
            </w:r>
          </w:p>
        </w:tc>
        <w:tc>
          <w:tcPr>
            <w:tcW w:type="dxa" w:w="4248"/>
            <w:tcMar>
              <w:top w:w="80" w:type="dxa"/>
              <w:start w:w="85" w:type="dxa"/>
              <w:bottom w:w="80" w:type="dxa"/>
              <w:end w:w="85" w:type="dxa"/>
            </w:tcMar>
            <w:vAlign w:val="center"/>
          </w:tcPr>
          <w:p>
            <w:pPr>
              <w:spacing w:after="0" w:line="250" w:lineRule="auto"/>
              <w:jc w:val="left"/>
            </w:pPr>
            <w:r>
              <w:rPr>
                <w:color w:val="262B30"/>
                <w:sz w:val="15"/>
              </w:rPr>
              <w:t>Only the polished product is graded.</w:t>
            </w:r>
          </w:p>
        </w:tc>
      </w:tr>
      <w:tr>
        <w:trPr>
          <w:cantSplit/>
        </w:trPr>
        <w:tc>
          <w:tcPr>
            <w:tcW w:type="dxa" w:w="2232"/>
            <w:tcMar>
              <w:top w:w="80" w:type="dxa"/>
              <w:start w:w="85" w:type="dxa"/>
              <w:bottom w:w="80" w:type="dxa"/>
              <w:end w:w="85" w:type="dxa"/>
            </w:tcMar>
            <w:vAlign w:val="center"/>
            <w:shd w:fill="F3F5F7"/>
          </w:tcPr>
          <w:p>
            <w:pPr>
              <w:spacing w:after="0" w:line="250" w:lineRule="auto"/>
              <w:jc w:val="left"/>
            </w:pPr>
            <w:r>
              <w:rPr>
                <w:color w:val="262B30"/>
                <w:sz w:val="15"/>
              </w:rPr>
              <w:t>Evidence</w:t>
            </w:r>
          </w:p>
        </w:tc>
        <w:tc>
          <w:tcPr>
            <w:tcW w:type="dxa" w:w="4104"/>
            <w:tcMar>
              <w:top w:w="80" w:type="dxa"/>
              <w:start w:w="85" w:type="dxa"/>
              <w:bottom w:w="80" w:type="dxa"/>
              <w:end w:w="85" w:type="dxa"/>
            </w:tcMar>
            <w:vAlign w:val="center"/>
            <w:shd w:fill="F3F5F7"/>
          </w:tcPr>
          <w:p>
            <w:pPr>
              <w:spacing w:after="0" w:line="250" w:lineRule="auto"/>
              <w:jc w:val="left"/>
            </w:pPr>
            <w:r>
              <w:rPr>
                <w:color w:val="262B30"/>
                <w:sz w:val="15"/>
              </w:rPr>
              <w:t>The institution measures delayed mastery, transfer, agency, and subgroup effects.</w:t>
            </w:r>
          </w:p>
        </w:tc>
        <w:tc>
          <w:tcPr>
            <w:tcW w:type="dxa" w:w="4248"/>
            <w:tcMar>
              <w:top w:w="80" w:type="dxa"/>
              <w:start w:w="85" w:type="dxa"/>
              <w:bottom w:w="80" w:type="dxa"/>
              <w:end w:w="85" w:type="dxa"/>
            </w:tcMar>
            <w:vAlign w:val="center"/>
            <w:shd w:fill="F3F5F7"/>
          </w:tcPr>
          <w:p>
            <w:pPr>
              <w:spacing w:after="0" w:line="250" w:lineRule="auto"/>
              <w:jc w:val="left"/>
            </w:pPr>
            <w:r>
              <w:rPr>
                <w:color w:val="262B30"/>
                <w:sz w:val="15"/>
              </w:rPr>
              <w:t>Success is defined by logins, prompts, or time saved.</w:t>
            </w:r>
          </w:p>
        </w:tc>
      </w:tr>
    </w:tbl>
    <w:p>
      <w:pPr>
        <w:spacing w:after="0"/>
      </w:pPr>
    </w:p>
    <w:p>
      <w:pPr>
        <w:pStyle w:val="Heading2"/>
      </w:pPr>
      <w:r>
        <w:t>Suitability labels</w:t>
      </w:r>
    </w:p>
    <w:tbl>
      <w:tblPr>
        <w:tblW w:type="auto" w:w="0"/>
        <w:jc w:val="center"/>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5112"/>
        <w:gridCol w:w="5112"/>
      </w:tblGrid>
      <w:tr>
        <w:trPr>
          <w:tblHeader w:val="true"/>
          <w:cantSplit/>
        </w:trPr>
        <w:tc>
          <w:tcPr>
            <w:tcW w:type="dxa" w:w="1944"/>
            <w:shd w:fill="18364F"/>
            <w:tcMar>
              <w:top w:w="80" w:type="dxa"/>
              <w:start w:w="85" w:type="dxa"/>
              <w:bottom w:w="80" w:type="dxa"/>
              <w:end w:w="85" w:type="dxa"/>
            </w:tcMar>
            <w:vAlign w:val="center"/>
          </w:tcPr>
          <w:p>
            <w:pPr>
              <w:spacing w:after="0"/>
              <w:jc w:val="left"/>
            </w:pPr>
            <w:r>
              <w:rPr>
                <w:b/>
                <w:color w:val="FFFFFF"/>
                <w:sz w:val="16"/>
              </w:rPr>
              <w:t>Label</w:t>
            </w:r>
          </w:p>
        </w:tc>
        <w:tc>
          <w:tcPr>
            <w:tcW w:type="dxa" w:w="8640"/>
            <w:shd w:fill="18364F"/>
            <w:tcMar>
              <w:top w:w="80" w:type="dxa"/>
              <w:start w:w="85" w:type="dxa"/>
              <w:bottom w:w="80" w:type="dxa"/>
              <w:end w:w="85" w:type="dxa"/>
            </w:tcMar>
            <w:vAlign w:val="center"/>
          </w:tcPr>
          <w:p>
            <w:pPr>
              <w:spacing w:after="0"/>
              <w:jc w:val="left"/>
            </w:pPr>
            <w:r>
              <w:rPr>
                <w:b/>
                <w:color w:val="FFFFFF"/>
                <w:sz w:val="16"/>
              </w:rPr>
              <w:t>Meaning</w:t>
            </w:r>
          </w:p>
        </w:tc>
      </w:tr>
      <w:tr>
        <w:trPr>
          <w:cantSplit/>
        </w:trPr>
        <w:tc>
          <w:tcPr>
            <w:tcW w:type="dxa" w:w="1944"/>
            <w:tcMar>
              <w:top w:w="80" w:type="dxa"/>
              <w:start w:w="85" w:type="dxa"/>
              <w:bottom w:w="80" w:type="dxa"/>
              <w:end w:w="85" w:type="dxa"/>
            </w:tcMar>
            <w:vAlign w:val="center"/>
          </w:tcPr>
          <w:p>
            <w:pPr>
              <w:spacing w:after="0" w:line="250" w:lineRule="auto"/>
              <w:jc w:val="left"/>
            </w:pPr>
            <w:r>
              <w:rPr>
                <w:color w:val="262B30"/>
                <w:sz w:val="16"/>
              </w:rPr>
              <w:t>Good fit</w:t>
            </w:r>
          </w:p>
        </w:tc>
        <w:tc>
          <w:tcPr>
            <w:tcW w:type="dxa" w:w="8640"/>
            <w:tcMar>
              <w:top w:w="80" w:type="dxa"/>
              <w:start w:w="85" w:type="dxa"/>
              <w:bottom w:w="80" w:type="dxa"/>
              <w:end w:w="85" w:type="dxa"/>
            </w:tcMar>
            <w:vAlign w:val="center"/>
          </w:tcPr>
          <w:p>
            <w:pPr>
              <w:spacing w:after="0" w:line="250" w:lineRule="auto"/>
              <w:jc w:val="left"/>
            </w:pPr>
            <w:r>
              <w:rPr>
                <w:color w:val="262B30"/>
                <w:sz w:val="16"/>
              </w:rPr>
              <w:t>The mode supports formation when used for the stated purpose with ordinary verification.</w:t>
            </w:r>
          </w:p>
        </w:tc>
      </w:tr>
      <w:tr>
        <w:trPr>
          <w:cantSplit/>
        </w:trPr>
        <w:tc>
          <w:tcPr>
            <w:tcW w:type="dxa" w:w="1944"/>
            <w:tcMar>
              <w:top w:w="80" w:type="dxa"/>
              <w:start w:w="85" w:type="dxa"/>
              <w:bottom w:w="80" w:type="dxa"/>
              <w:end w:w="85" w:type="dxa"/>
            </w:tcMar>
            <w:vAlign w:val="center"/>
            <w:shd w:fill="F3F5F7"/>
          </w:tcPr>
          <w:p>
            <w:pPr>
              <w:spacing w:after="0" w:line="250" w:lineRule="auto"/>
              <w:jc w:val="left"/>
            </w:pPr>
            <w:r>
              <w:rPr>
                <w:color w:val="262B30"/>
                <w:sz w:val="16"/>
              </w:rPr>
              <w:t>Conditional</w:t>
            </w:r>
          </w:p>
        </w:tc>
        <w:tc>
          <w:tcPr>
            <w:tcW w:type="dxa" w:w="8640"/>
            <w:tcMar>
              <w:top w:w="80" w:type="dxa"/>
              <w:start w:w="85" w:type="dxa"/>
              <w:bottom w:w="80" w:type="dxa"/>
              <w:end w:w="85" w:type="dxa"/>
            </w:tcMar>
            <w:vAlign w:val="center"/>
            <w:shd w:fill="F3F5F7"/>
          </w:tcPr>
          <w:p>
            <w:pPr>
              <w:spacing w:after="0" w:line="250" w:lineRule="auto"/>
              <w:jc w:val="left"/>
            </w:pPr>
            <w:r>
              <w:rPr>
                <w:color w:val="262B30"/>
                <w:sz w:val="16"/>
              </w:rPr>
              <w:t>Useful only after prerequisites, with explicit boundaries and independent assessment.</w:t>
            </w:r>
          </w:p>
        </w:tc>
      </w:tr>
      <w:tr>
        <w:trPr>
          <w:cantSplit/>
        </w:trPr>
        <w:tc>
          <w:tcPr>
            <w:tcW w:type="dxa" w:w="1944"/>
            <w:tcMar>
              <w:top w:w="80" w:type="dxa"/>
              <w:start w:w="85" w:type="dxa"/>
              <w:bottom w:w="80" w:type="dxa"/>
              <w:end w:w="85" w:type="dxa"/>
            </w:tcMar>
            <w:vAlign w:val="center"/>
          </w:tcPr>
          <w:p>
            <w:pPr>
              <w:spacing w:after="0" w:line="250" w:lineRule="auto"/>
              <w:jc w:val="left"/>
            </w:pPr>
            <w:r>
              <w:rPr>
                <w:color w:val="262B30"/>
                <w:sz w:val="16"/>
              </w:rPr>
              <w:t>Poor fit</w:t>
            </w:r>
          </w:p>
        </w:tc>
        <w:tc>
          <w:tcPr>
            <w:tcW w:type="dxa" w:w="8640"/>
            <w:tcMar>
              <w:top w:w="80" w:type="dxa"/>
              <w:start w:w="85" w:type="dxa"/>
              <w:bottom w:w="80" w:type="dxa"/>
              <w:end w:w="85" w:type="dxa"/>
            </w:tcMar>
            <w:vAlign w:val="center"/>
          </w:tcPr>
          <w:p>
            <w:pPr>
              <w:spacing w:after="0" w:line="250" w:lineRule="auto"/>
              <w:jc w:val="left"/>
            </w:pPr>
            <w:r>
              <w:rPr>
                <w:color w:val="262B30"/>
                <w:sz w:val="16"/>
              </w:rPr>
              <w:t>Likely to replace the capability being taught or create disproportionate privacy, relational, or developmental risk.</w:t>
            </w:r>
          </w:p>
        </w:tc>
      </w:tr>
      <w:tr>
        <w:trPr>
          <w:cantSplit/>
        </w:trPr>
        <w:tc>
          <w:tcPr>
            <w:tcW w:type="dxa" w:w="1944"/>
            <w:tcMar>
              <w:top w:w="80" w:type="dxa"/>
              <w:start w:w="85" w:type="dxa"/>
              <w:bottom w:w="80" w:type="dxa"/>
              <w:end w:w="85" w:type="dxa"/>
            </w:tcMar>
            <w:vAlign w:val="center"/>
            <w:shd w:fill="F3F5F7"/>
          </w:tcPr>
          <w:p>
            <w:pPr>
              <w:spacing w:after="0" w:line="250" w:lineRule="auto"/>
              <w:jc w:val="left"/>
            </w:pPr>
            <w:r>
              <w:rPr>
                <w:color w:val="262B30"/>
                <w:sz w:val="16"/>
              </w:rPr>
              <w:t>Unresolved</w:t>
            </w:r>
          </w:p>
        </w:tc>
        <w:tc>
          <w:tcPr>
            <w:tcW w:type="dxa" w:w="8640"/>
            <w:tcMar>
              <w:top w:w="80" w:type="dxa"/>
              <w:start w:w="85" w:type="dxa"/>
              <w:bottom w:w="80" w:type="dxa"/>
              <w:end w:w="85" w:type="dxa"/>
            </w:tcMar>
            <w:vAlign w:val="center"/>
            <w:shd w:fill="F3F5F7"/>
          </w:tcPr>
          <w:p>
            <w:pPr>
              <w:spacing w:after="0" w:line="250" w:lineRule="auto"/>
              <w:jc w:val="left"/>
            </w:pPr>
            <w:r>
              <w:rPr>
                <w:color w:val="262B30"/>
                <w:sz w:val="16"/>
              </w:rPr>
              <w:t>Public evidence is insufficient to support the claim or compare outcomes.</w:t>
            </w:r>
          </w:p>
        </w:tc>
      </w:tr>
    </w:tbl>
    <w:p>
      <w:pPr>
        <w:spacing w:after="0"/>
      </w:pPr>
    </w:p>
    <w:p>
      <w:r>
        <w:br w:type="page"/>
      </w:r>
    </w:p>
    <w:p>
      <w:pPr>
        <w:pStyle w:val="Heading1"/>
      </w:pPr>
      <w:r>
        <w:t>3  Tool matrix at a glance</w:t>
      </w:r>
    </w:p>
    <w:tbl>
      <w:tblPr>
        <w:tblW w:type="auto" w:w="0"/>
        <w:jc w:val="center"/>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556"/>
        <w:gridCol w:w="2556"/>
        <w:gridCol w:w="2556"/>
        <w:gridCol w:w="2556"/>
      </w:tblGrid>
      <w:tr>
        <w:trPr>
          <w:tblHeader w:val="true"/>
          <w:cantSplit/>
        </w:trPr>
        <w:tc>
          <w:tcPr>
            <w:tcW w:type="dxa" w:w="2376"/>
            <w:shd w:fill="18364F"/>
            <w:tcMar>
              <w:top w:w="80" w:type="dxa"/>
              <w:start w:w="85" w:type="dxa"/>
              <w:bottom w:w="80" w:type="dxa"/>
              <w:end w:w="85" w:type="dxa"/>
            </w:tcMar>
            <w:vAlign w:val="center"/>
          </w:tcPr>
          <w:p>
            <w:pPr>
              <w:spacing w:after="0"/>
              <w:jc w:val="left"/>
            </w:pPr>
            <w:r>
              <w:rPr>
                <w:b/>
                <w:color w:val="FFFFFF"/>
                <w:sz w:val="14"/>
              </w:rPr>
              <w:t>Tool or mode</w:t>
            </w:r>
          </w:p>
        </w:tc>
        <w:tc>
          <w:tcPr>
            <w:tcW w:type="dxa" w:w="3240"/>
            <w:shd w:fill="18364F"/>
            <w:tcMar>
              <w:top w:w="80" w:type="dxa"/>
              <w:start w:w="85" w:type="dxa"/>
              <w:bottom w:w="80" w:type="dxa"/>
              <w:end w:w="85" w:type="dxa"/>
            </w:tcMar>
            <w:vAlign w:val="center"/>
          </w:tcPr>
          <w:p>
            <w:pPr>
              <w:spacing w:after="0"/>
              <w:jc w:val="left"/>
            </w:pPr>
            <w:r>
              <w:rPr>
                <w:b/>
                <w:color w:val="FFFFFF"/>
                <w:sz w:val="14"/>
              </w:rPr>
              <w:t>Best educational role</w:t>
            </w:r>
          </w:p>
        </w:tc>
        <w:tc>
          <w:tcPr>
            <w:tcW w:type="dxa" w:w="1800"/>
            <w:shd w:fill="18364F"/>
            <w:tcMar>
              <w:top w:w="80" w:type="dxa"/>
              <w:start w:w="85" w:type="dxa"/>
              <w:bottom w:w="80" w:type="dxa"/>
              <w:end w:w="85" w:type="dxa"/>
            </w:tcMar>
            <w:vAlign w:val="center"/>
          </w:tcPr>
          <w:p>
            <w:pPr>
              <w:spacing w:after="0"/>
              <w:jc w:val="left"/>
            </w:pPr>
            <w:r>
              <w:rPr>
                <w:b/>
                <w:color w:val="FFFFFF"/>
                <w:sz w:val="14"/>
              </w:rPr>
              <w:t>Overall fit</w:t>
            </w:r>
          </w:p>
        </w:tc>
        <w:tc>
          <w:tcPr>
            <w:tcW w:type="dxa" w:w="3168"/>
            <w:shd w:fill="18364F"/>
            <w:tcMar>
              <w:top w:w="80" w:type="dxa"/>
              <w:start w:w="85" w:type="dxa"/>
              <w:bottom w:w="80" w:type="dxa"/>
              <w:end w:w="85" w:type="dxa"/>
            </w:tcMar>
            <w:vAlign w:val="center"/>
          </w:tcPr>
          <w:p>
            <w:pPr>
              <w:spacing w:after="0"/>
              <w:jc w:val="left"/>
            </w:pPr>
            <w:r>
              <w:rPr>
                <w:b/>
                <w:color w:val="FFFFFF"/>
                <w:sz w:val="14"/>
              </w:rPr>
              <w:t>Primary condition</w:t>
            </w:r>
          </w:p>
        </w:tc>
      </w:tr>
      <w:tr>
        <w:trPr>
          <w:cantSplit/>
        </w:trPr>
        <w:tc>
          <w:tcPr>
            <w:tcW w:type="dxa" w:w="2376"/>
            <w:tcMar>
              <w:top w:w="80" w:type="dxa"/>
              <w:start w:w="85" w:type="dxa"/>
              <w:bottom w:w="80" w:type="dxa"/>
              <w:end w:w="85" w:type="dxa"/>
            </w:tcMar>
            <w:vAlign w:val="center"/>
          </w:tcPr>
          <w:p>
            <w:pPr>
              <w:spacing w:after="0" w:line="250" w:lineRule="auto"/>
              <w:jc w:val="left"/>
            </w:pPr>
            <w:r>
              <w:rPr>
                <w:color w:val="262B30"/>
                <w:sz w:val="14"/>
              </w:rPr>
              <w:t>Khanmigo</w:t>
            </w:r>
          </w:p>
        </w:tc>
        <w:tc>
          <w:tcPr>
            <w:tcW w:type="dxa" w:w="3240"/>
            <w:tcMar>
              <w:top w:w="80" w:type="dxa"/>
              <w:start w:w="85" w:type="dxa"/>
              <w:bottom w:w="80" w:type="dxa"/>
              <w:end w:w="85" w:type="dxa"/>
            </w:tcMar>
            <w:vAlign w:val="center"/>
          </w:tcPr>
          <w:p>
            <w:pPr>
              <w:spacing w:after="0" w:line="250" w:lineRule="auto"/>
              <w:jc w:val="left"/>
            </w:pPr>
            <w:r>
              <w:rPr>
                <w:color w:val="262B30"/>
                <w:sz w:val="14"/>
              </w:rPr>
              <w:t>Guided tutoring, writing practice, debate, coding feedback</w:t>
            </w:r>
          </w:p>
        </w:tc>
        <w:tc>
          <w:tcPr>
            <w:tcW w:type="dxa" w:w="1800"/>
            <w:tcMar>
              <w:top w:w="80" w:type="dxa"/>
              <w:start w:w="85" w:type="dxa"/>
              <w:bottom w:w="80" w:type="dxa"/>
              <w:end w:w="85" w:type="dxa"/>
            </w:tcMar>
            <w:vAlign w:val="center"/>
          </w:tcPr>
          <w:p>
            <w:pPr>
              <w:spacing w:after="0" w:line="250" w:lineRule="auto"/>
              <w:jc w:val="left"/>
            </w:pPr>
            <w:r>
              <w:rPr>
                <w:color w:val="262B30"/>
                <w:sz w:val="14"/>
              </w:rPr>
              <w:t>Good fit with safeguards</w:t>
            </w:r>
          </w:p>
        </w:tc>
        <w:tc>
          <w:tcPr>
            <w:tcW w:type="dxa" w:w="3168"/>
            <w:tcMar>
              <w:top w:w="80" w:type="dxa"/>
              <w:start w:w="85" w:type="dxa"/>
              <w:bottom w:w="80" w:type="dxa"/>
              <w:end w:w="85" w:type="dxa"/>
            </w:tcMar>
            <w:vAlign w:val="center"/>
          </w:tcPr>
          <w:p>
            <w:pPr>
              <w:spacing w:after="0" w:line="250" w:lineRule="auto"/>
              <w:jc w:val="left"/>
            </w:pPr>
            <w:r>
              <w:rPr>
                <w:color w:val="262B30"/>
                <w:sz w:val="14"/>
              </w:rPr>
              <w:t>Use through a parent or district; verify delayed mastery.</w:t>
            </w:r>
          </w:p>
        </w:tc>
      </w:tr>
      <w:tr>
        <w:trPr>
          <w:cantSplit/>
        </w:trPr>
        <w:tc>
          <w:tcPr>
            <w:tcW w:type="dxa" w:w="2376"/>
            <w:tcMar>
              <w:top w:w="80" w:type="dxa"/>
              <w:start w:w="85" w:type="dxa"/>
              <w:bottom w:w="80" w:type="dxa"/>
              <w:end w:w="85" w:type="dxa"/>
            </w:tcMar>
            <w:vAlign w:val="center"/>
            <w:shd w:fill="F3F5F7"/>
          </w:tcPr>
          <w:p>
            <w:pPr>
              <w:spacing w:after="0" w:line="250" w:lineRule="auto"/>
              <w:jc w:val="left"/>
            </w:pPr>
            <w:r>
              <w:rPr>
                <w:color w:val="262B30"/>
                <w:sz w:val="14"/>
              </w:rPr>
              <w:t>Gemini Notebook and NotebookLM</w:t>
            </w:r>
          </w:p>
        </w:tc>
        <w:tc>
          <w:tcPr>
            <w:tcW w:type="dxa" w:w="3240"/>
            <w:tcMar>
              <w:top w:w="80" w:type="dxa"/>
              <w:start w:w="85" w:type="dxa"/>
              <w:bottom w:w="80" w:type="dxa"/>
              <w:end w:w="85" w:type="dxa"/>
            </w:tcMar>
            <w:vAlign w:val="center"/>
            <w:shd w:fill="F3F5F7"/>
          </w:tcPr>
          <w:p>
            <w:pPr>
              <w:spacing w:after="0" w:line="250" w:lineRule="auto"/>
              <w:jc w:val="left"/>
            </w:pPr>
            <w:r>
              <w:rPr>
                <w:color w:val="262B30"/>
                <w:sz w:val="14"/>
              </w:rPr>
              <w:t>Source-bounded reading, synthesis, study guides, questions</w:t>
            </w:r>
          </w:p>
        </w:tc>
        <w:tc>
          <w:tcPr>
            <w:tcW w:type="dxa" w:w="1800"/>
            <w:tcMar>
              <w:top w:w="80" w:type="dxa"/>
              <w:start w:w="85" w:type="dxa"/>
              <w:bottom w:w="80" w:type="dxa"/>
              <w:end w:w="85" w:type="dxa"/>
            </w:tcMar>
            <w:vAlign w:val="center"/>
            <w:shd w:fill="F3F5F7"/>
          </w:tcPr>
          <w:p>
            <w:pPr>
              <w:spacing w:after="0" w:line="250" w:lineRule="auto"/>
              <w:jc w:val="left"/>
            </w:pPr>
            <w:r>
              <w:rPr>
                <w:color w:val="262B30"/>
                <w:sz w:val="14"/>
              </w:rPr>
              <w:t>Good fit with safeguards</w:t>
            </w:r>
          </w:p>
        </w:tc>
        <w:tc>
          <w:tcPr>
            <w:tcW w:type="dxa" w:w="3168"/>
            <w:tcMar>
              <w:top w:w="80" w:type="dxa"/>
              <w:start w:w="85" w:type="dxa"/>
              <w:bottom w:w="80" w:type="dxa"/>
              <w:end w:w="85" w:type="dxa"/>
            </w:tcMar>
            <w:vAlign w:val="center"/>
            <w:shd w:fill="F3F5F7"/>
          </w:tcPr>
          <w:p>
            <w:pPr>
              <w:spacing w:after="0" w:line="250" w:lineRule="auto"/>
              <w:jc w:val="left"/>
            </w:pPr>
            <w:r>
              <w:rPr>
                <w:color w:val="262B30"/>
                <w:sz w:val="14"/>
              </w:rPr>
              <w:t>Teacher-curated source set; student checks every citation.</w:t>
            </w:r>
          </w:p>
        </w:tc>
      </w:tr>
      <w:tr>
        <w:trPr>
          <w:cantSplit/>
        </w:trPr>
        <w:tc>
          <w:tcPr>
            <w:tcW w:type="dxa" w:w="2376"/>
            <w:tcMar>
              <w:top w:w="80" w:type="dxa"/>
              <w:start w:w="85" w:type="dxa"/>
              <w:bottom w:w="80" w:type="dxa"/>
              <w:end w:w="85" w:type="dxa"/>
            </w:tcMar>
            <w:vAlign w:val="center"/>
          </w:tcPr>
          <w:p>
            <w:pPr>
              <w:spacing w:after="0" w:line="250" w:lineRule="auto"/>
              <w:jc w:val="left"/>
            </w:pPr>
            <w:r>
              <w:rPr>
                <w:color w:val="262B30"/>
                <w:sz w:val="14"/>
              </w:rPr>
              <w:t>ChatGPT Study Mode and Edu</w:t>
            </w:r>
          </w:p>
        </w:tc>
        <w:tc>
          <w:tcPr>
            <w:tcW w:type="dxa" w:w="3240"/>
            <w:tcMar>
              <w:top w:w="80" w:type="dxa"/>
              <w:start w:w="85" w:type="dxa"/>
              <w:bottom w:w="80" w:type="dxa"/>
              <w:end w:w="85" w:type="dxa"/>
            </w:tcMar>
            <w:vAlign w:val="center"/>
          </w:tcPr>
          <w:p>
            <w:pPr>
              <w:spacing w:after="0" w:line="250" w:lineRule="auto"/>
              <w:jc w:val="left"/>
            </w:pPr>
            <w:r>
              <w:rPr>
                <w:color w:val="262B30"/>
                <w:sz w:val="14"/>
              </w:rPr>
              <w:t>Guided explanation, questioning, critique, simulation</w:t>
            </w:r>
          </w:p>
        </w:tc>
        <w:tc>
          <w:tcPr>
            <w:tcW w:type="dxa" w:w="1800"/>
            <w:tcMar>
              <w:top w:w="80" w:type="dxa"/>
              <w:start w:w="85" w:type="dxa"/>
              <w:bottom w:w="80" w:type="dxa"/>
              <w:end w:w="85" w:type="dxa"/>
            </w:tcMar>
            <w:vAlign w:val="center"/>
          </w:tcPr>
          <w:p>
            <w:pPr>
              <w:spacing w:after="0" w:line="250" w:lineRule="auto"/>
              <w:jc w:val="left"/>
            </w:pPr>
            <w:r>
              <w:rPr>
                <w:color w:val="262B30"/>
                <w:sz w:val="14"/>
              </w:rPr>
              <w:t>Conditional to good</w:t>
            </w:r>
          </w:p>
        </w:tc>
        <w:tc>
          <w:tcPr>
            <w:tcW w:type="dxa" w:w="3168"/>
            <w:tcMar>
              <w:top w:w="80" w:type="dxa"/>
              <w:start w:w="85" w:type="dxa"/>
              <w:bottom w:w="80" w:type="dxa"/>
              <w:end w:w="85" w:type="dxa"/>
            </w:tcMar>
            <w:vAlign w:val="center"/>
          </w:tcPr>
          <w:p>
            <w:pPr>
              <w:spacing w:after="0" w:line="250" w:lineRule="auto"/>
              <w:jc w:val="left"/>
            </w:pPr>
            <w:r>
              <w:rPr>
                <w:color w:val="262B30"/>
                <w:sz w:val="14"/>
              </w:rPr>
              <w:t>Require an independent attempt and later unaided performance.</w:t>
            </w:r>
          </w:p>
        </w:tc>
      </w:tr>
      <w:tr>
        <w:trPr>
          <w:cantSplit/>
        </w:trPr>
        <w:tc>
          <w:tcPr>
            <w:tcW w:type="dxa" w:w="2376"/>
            <w:tcMar>
              <w:top w:w="80" w:type="dxa"/>
              <w:start w:w="85" w:type="dxa"/>
              <w:bottom w:w="80" w:type="dxa"/>
              <w:end w:w="85" w:type="dxa"/>
            </w:tcMar>
            <w:vAlign w:val="center"/>
            <w:shd w:fill="F3F5F7"/>
          </w:tcPr>
          <w:p>
            <w:pPr>
              <w:spacing w:after="0" w:line="250" w:lineRule="auto"/>
              <w:jc w:val="left"/>
            </w:pPr>
            <w:r>
              <w:rPr>
                <w:color w:val="262B30"/>
                <w:sz w:val="14"/>
              </w:rPr>
              <w:t>Claude Learning Mode and Education</w:t>
            </w:r>
          </w:p>
        </w:tc>
        <w:tc>
          <w:tcPr>
            <w:tcW w:type="dxa" w:w="3240"/>
            <w:tcMar>
              <w:top w:w="80" w:type="dxa"/>
              <w:start w:w="85" w:type="dxa"/>
              <w:bottom w:w="80" w:type="dxa"/>
              <w:end w:w="85" w:type="dxa"/>
            </w:tcMar>
            <w:vAlign w:val="center"/>
            <w:shd w:fill="F3F5F7"/>
          </w:tcPr>
          <w:p>
            <w:pPr>
              <w:spacing w:after="0" w:line="250" w:lineRule="auto"/>
              <w:jc w:val="left"/>
            </w:pPr>
            <w:r>
              <w:rPr>
                <w:color w:val="262B30"/>
                <w:sz w:val="14"/>
              </w:rPr>
              <w:t>Socratic questioning, concepts, thesis feedback, research structure</w:t>
            </w:r>
          </w:p>
        </w:tc>
        <w:tc>
          <w:tcPr>
            <w:tcW w:type="dxa" w:w="1800"/>
            <w:tcMar>
              <w:top w:w="80" w:type="dxa"/>
              <w:start w:w="85" w:type="dxa"/>
              <w:bottom w:w="80" w:type="dxa"/>
              <w:end w:w="85" w:type="dxa"/>
            </w:tcMar>
            <w:vAlign w:val="center"/>
            <w:shd w:fill="F3F5F7"/>
          </w:tcPr>
          <w:p>
            <w:pPr>
              <w:spacing w:after="0" w:line="250" w:lineRule="auto"/>
              <w:jc w:val="left"/>
            </w:pPr>
            <w:r>
              <w:rPr>
                <w:color w:val="262B30"/>
                <w:sz w:val="14"/>
              </w:rPr>
              <w:t>Conditional to good</w:t>
            </w:r>
          </w:p>
        </w:tc>
        <w:tc>
          <w:tcPr>
            <w:tcW w:type="dxa" w:w="3168"/>
            <w:tcMar>
              <w:top w:w="80" w:type="dxa"/>
              <w:start w:w="85" w:type="dxa"/>
              <w:bottom w:w="80" w:type="dxa"/>
              <w:end w:w="85" w:type="dxa"/>
            </w:tcMar>
            <w:vAlign w:val="center"/>
            <w:shd w:fill="F3F5F7"/>
          </w:tcPr>
          <w:p>
            <w:pPr>
              <w:spacing w:after="0" w:line="250" w:lineRule="auto"/>
              <w:jc w:val="left"/>
            </w:pPr>
            <w:r>
              <w:rPr>
                <w:color w:val="262B30"/>
                <w:sz w:val="14"/>
              </w:rPr>
              <w:t>Best for higher education; prevent full-draft substitution.</w:t>
            </w:r>
          </w:p>
        </w:tc>
      </w:tr>
      <w:tr>
        <w:trPr>
          <w:cantSplit/>
        </w:trPr>
        <w:tc>
          <w:tcPr>
            <w:tcW w:type="dxa" w:w="2376"/>
            <w:tcMar>
              <w:top w:w="80" w:type="dxa"/>
              <w:start w:w="85" w:type="dxa"/>
              <w:bottom w:w="80" w:type="dxa"/>
              <w:end w:w="85" w:type="dxa"/>
            </w:tcMar>
            <w:vAlign w:val="center"/>
          </w:tcPr>
          <w:p>
            <w:pPr>
              <w:spacing w:after="0" w:line="250" w:lineRule="auto"/>
              <w:jc w:val="left"/>
            </w:pPr>
            <w:r>
              <w:rPr>
                <w:color w:val="262B30"/>
                <w:sz w:val="14"/>
              </w:rPr>
              <w:t>Gemini for Education</w:t>
            </w:r>
          </w:p>
        </w:tc>
        <w:tc>
          <w:tcPr>
            <w:tcW w:type="dxa" w:w="3240"/>
            <w:tcMar>
              <w:top w:w="80" w:type="dxa"/>
              <w:start w:w="85" w:type="dxa"/>
              <w:bottom w:w="80" w:type="dxa"/>
              <w:end w:w="85" w:type="dxa"/>
            </w:tcMar>
            <w:vAlign w:val="center"/>
          </w:tcPr>
          <w:p>
            <w:pPr>
              <w:spacing w:after="0" w:line="250" w:lineRule="auto"/>
              <w:jc w:val="left"/>
            </w:pPr>
            <w:r>
              <w:rPr>
                <w:color w:val="262B30"/>
                <w:sz w:val="14"/>
              </w:rPr>
              <w:t>Guided learning, explanation, research, teacher productivity</w:t>
            </w:r>
          </w:p>
        </w:tc>
        <w:tc>
          <w:tcPr>
            <w:tcW w:type="dxa" w:w="1800"/>
            <w:tcMar>
              <w:top w:w="80" w:type="dxa"/>
              <w:start w:w="85" w:type="dxa"/>
              <w:bottom w:w="80" w:type="dxa"/>
              <w:end w:w="85" w:type="dxa"/>
            </w:tcMar>
            <w:vAlign w:val="center"/>
          </w:tcPr>
          <w:p>
            <w:pPr>
              <w:spacing w:after="0" w:line="250" w:lineRule="auto"/>
              <w:jc w:val="left"/>
            </w:pPr>
            <w:r>
              <w:rPr>
                <w:color w:val="262B30"/>
                <w:sz w:val="14"/>
              </w:rPr>
              <w:t>Conditional</w:t>
            </w:r>
          </w:p>
        </w:tc>
        <w:tc>
          <w:tcPr>
            <w:tcW w:type="dxa" w:w="3168"/>
            <w:tcMar>
              <w:top w:w="80" w:type="dxa"/>
              <w:start w:w="85" w:type="dxa"/>
              <w:bottom w:w="80" w:type="dxa"/>
              <w:end w:w="85" w:type="dxa"/>
            </w:tcMar>
            <w:vAlign w:val="center"/>
          </w:tcPr>
          <w:p>
            <w:pPr>
              <w:spacing w:after="0" w:line="250" w:lineRule="auto"/>
              <w:jc w:val="left"/>
            </w:pPr>
            <w:r>
              <w:rPr>
                <w:color w:val="262B30"/>
                <w:sz w:val="14"/>
              </w:rPr>
              <w:t>Use school-managed accounts and assignment-level rules.</w:t>
            </w:r>
          </w:p>
        </w:tc>
      </w:tr>
      <w:tr>
        <w:trPr>
          <w:cantSplit/>
        </w:trPr>
        <w:tc>
          <w:tcPr>
            <w:tcW w:type="dxa" w:w="2376"/>
            <w:tcMar>
              <w:top w:w="80" w:type="dxa"/>
              <w:start w:w="85" w:type="dxa"/>
              <w:bottom w:w="80" w:type="dxa"/>
              <w:end w:w="85" w:type="dxa"/>
            </w:tcMar>
            <w:vAlign w:val="center"/>
            <w:shd w:fill="F3F5F7"/>
          </w:tcPr>
          <w:p>
            <w:pPr>
              <w:spacing w:after="0" w:line="250" w:lineRule="auto"/>
              <w:jc w:val="left"/>
            </w:pPr>
            <w:r>
              <w:rPr>
                <w:color w:val="262B30"/>
                <w:sz w:val="14"/>
              </w:rPr>
              <w:t>MagicSchool and MagicStudent</w:t>
            </w:r>
          </w:p>
        </w:tc>
        <w:tc>
          <w:tcPr>
            <w:tcW w:type="dxa" w:w="3240"/>
            <w:tcMar>
              <w:top w:w="80" w:type="dxa"/>
              <w:start w:w="85" w:type="dxa"/>
              <w:bottom w:w="80" w:type="dxa"/>
              <w:end w:w="85" w:type="dxa"/>
            </w:tcMar>
            <w:vAlign w:val="center"/>
            <w:shd w:fill="F3F5F7"/>
          </w:tcPr>
          <w:p>
            <w:pPr>
              <w:spacing w:after="0" w:line="250" w:lineRule="auto"/>
              <w:jc w:val="left"/>
            </w:pPr>
            <w:r>
              <w:rPr>
                <w:color w:val="262B30"/>
                <w:sz w:val="14"/>
              </w:rPr>
              <w:t>Teacher planning and bounded student activities</w:t>
            </w:r>
          </w:p>
        </w:tc>
        <w:tc>
          <w:tcPr>
            <w:tcW w:type="dxa" w:w="1800"/>
            <w:tcMar>
              <w:top w:w="80" w:type="dxa"/>
              <w:start w:w="85" w:type="dxa"/>
              <w:bottom w:w="80" w:type="dxa"/>
              <w:end w:w="85" w:type="dxa"/>
            </w:tcMar>
            <w:vAlign w:val="center"/>
            <w:shd w:fill="F3F5F7"/>
          </w:tcPr>
          <w:p>
            <w:pPr>
              <w:spacing w:after="0" w:line="250" w:lineRule="auto"/>
              <w:jc w:val="left"/>
            </w:pPr>
            <w:r>
              <w:rPr>
                <w:color w:val="262B30"/>
                <w:sz w:val="14"/>
              </w:rPr>
              <w:t>Conditional</w:t>
            </w:r>
          </w:p>
        </w:tc>
        <w:tc>
          <w:tcPr>
            <w:tcW w:type="dxa" w:w="3168"/>
            <w:tcMar>
              <w:top w:w="80" w:type="dxa"/>
              <w:start w:w="85" w:type="dxa"/>
              <w:bottom w:w="80" w:type="dxa"/>
              <w:end w:w="85" w:type="dxa"/>
            </w:tcMar>
            <w:vAlign w:val="center"/>
            <w:shd w:fill="F3F5F7"/>
          </w:tcPr>
          <w:p>
            <w:pPr>
              <w:spacing w:after="0" w:line="250" w:lineRule="auto"/>
              <w:jc w:val="left"/>
            </w:pPr>
            <w:r>
              <w:rPr>
                <w:color w:val="262B30"/>
                <w:sz w:val="14"/>
              </w:rPr>
              <w:t>Teacher reviews generated content and controls student tasks.</w:t>
            </w:r>
          </w:p>
        </w:tc>
      </w:tr>
      <w:tr>
        <w:trPr>
          <w:cantSplit/>
        </w:trPr>
        <w:tc>
          <w:tcPr>
            <w:tcW w:type="dxa" w:w="2376"/>
            <w:tcMar>
              <w:top w:w="80" w:type="dxa"/>
              <w:start w:w="85" w:type="dxa"/>
              <w:bottom w:w="80" w:type="dxa"/>
              <w:end w:w="85" w:type="dxa"/>
            </w:tcMar>
            <w:vAlign w:val="center"/>
          </w:tcPr>
          <w:p>
            <w:pPr>
              <w:spacing w:after="0" w:line="250" w:lineRule="auto"/>
              <w:jc w:val="left"/>
            </w:pPr>
            <w:r>
              <w:rPr>
                <w:color w:val="262B30"/>
                <w:sz w:val="14"/>
              </w:rPr>
              <w:t>SchoolAI Spaces</w:t>
            </w:r>
          </w:p>
        </w:tc>
        <w:tc>
          <w:tcPr>
            <w:tcW w:type="dxa" w:w="3240"/>
            <w:tcMar>
              <w:top w:w="80" w:type="dxa"/>
              <w:start w:w="85" w:type="dxa"/>
              <w:bottom w:w="80" w:type="dxa"/>
              <w:end w:w="85" w:type="dxa"/>
            </w:tcMar>
            <w:vAlign w:val="center"/>
          </w:tcPr>
          <w:p>
            <w:pPr>
              <w:spacing w:after="0" w:line="250" w:lineRule="auto"/>
              <w:jc w:val="left"/>
            </w:pPr>
            <w:r>
              <w:rPr>
                <w:color w:val="262B30"/>
                <w:sz w:val="14"/>
              </w:rPr>
              <w:t>Teacher-designed guided interactions and live insight</w:t>
            </w:r>
          </w:p>
        </w:tc>
        <w:tc>
          <w:tcPr>
            <w:tcW w:type="dxa" w:w="1800"/>
            <w:tcMar>
              <w:top w:w="80" w:type="dxa"/>
              <w:start w:w="85" w:type="dxa"/>
              <w:bottom w:w="80" w:type="dxa"/>
              <w:end w:w="85" w:type="dxa"/>
            </w:tcMar>
            <w:vAlign w:val="center"/>
          </w:tcPr>
          <w:p>
            <w:pPr>
              <w:spacing w:after="0" w:line="250" w:lineRule="auto"/>
              <w:jc w:val="left"/>
            </w:pPr>
            <w:r>
              <w:rPr>
                <w:color w:val="262B30"/>
                <w:sz w:val="14"/>
              </w:rPr>
              <w:t>Conditional</w:t>
            </w:r>
          </w:p>
        </w:tc>
        <w:tc>
          <w:tcPr>
            <w:tcW w:type="dxa" w:w="3168"/>
            <w:tcMar>
              <w:top w:w="80" w:type="dxa"/>
              <w:start w:w="85" w:type="dxa"/>
              <w:bottom w:w="80" w:type="dxa"/>
              <w:end w:w="85" w:type="dxa"/>
            </w:tcMar>
            <w:vAlign w:val="center"/>
          </w:tcPr>
          <w:p>
            <w:pPr>
              <w:spacing w:after="0" w:line="250" w:lineRule="auto"/>
              <w:jc w:val="left"/>
            </w:pPr>
            <w:r>
              <w:rPr>
                <w:color w:val="262B30"/>
                <w:sz w:val="14"/>
              </w:rPr>
              <w:t>Validate dashboard inferences and protect student privacy.</w:t>
            </w:r>
          </w:p>
        </w:tc>
      </w:tr>
      <w:tr>
        <w:trPr>
          <w:cantSplit/>
        </w:trPr>
        <w:tc>
          <w:tcPr>
            <w:tcW w:type="dxa" w:w="2376"/>
            <w:tcMar>
              <w:top w:w="80" w:type="dxa"/>
              <w:start w:w="85" w:type="dxa"/>
              <w:bottom w:w="80" w:type="dxa"/>
              <w:end w:w="85" w:type="dxa"/>
            </w:tcMar>
            <w:vAlign w:val="center"/>
            <w:shd w:fill="F3F5F7"/>
          </w:tcPr>
          <w:p>
            <w:pPr>
              <w:spacing w:after="0" w:line="250" w:lineRule="auto"/>
              <w:jc w:val="left"/>
            </w:pPr>
            <w:r>
              <w:rPr>
                <w:color w:val="262B30"/>
                <w:sz w:val="14"/>
              </w:rPr>
              <w:t>Brisk Teaching</w:t>
            </w:r>
          </w:p>
        </w:tc>
        <w:tc>
          <w:tcPr>
            <w:tcW w:type="dxa" w:w="3240"/>
            <w:tcMar>
              <w:top w:w="80" w:type="dxa"/>
              <w:start w:w="85" w:type="dxa"/>
              <w:bottom w:w="80" w:type="dxa"/>
              <w:end w:w="85" w:type="dxa"/>
            </w:tcMar>
            <w:vAlign w:val="center"/>
            <w:shd w:fill="F3F5F7"/>
          </w:tcPr>
          <w:p>
            <w:pPr>
              <w:spacing w:after="0" w:line="250" w:lineRule="auto"/>
              <w:jc w:val="left"/>
            </w:pPr>
            <w:r>
              <w:rPr>
                <w:color w:val="262B30"/>
                <w:sz w:val="14"/>
              </w:rPr>
              <w:t>Teacher preparation, differentiation, feedback, student activities</w:t>
            </w:r>
          </w:p>
        </w:tc>
        <w:tc>
          <w:tcPr>
            <w:tcW w:type="dxa" w:w="1800"/>
            <w:tcMar>
              <w:top w:w="80" w:type="dxa"/>
              <w:start w:w="85" w:type="dxa"/>
              <w:bottom w:w="80" w:type="dxa"/>
              <w:end w:w="85" w:type="dxa"/>
            </w:tcMar>
            <w:vAlign w:val="center"/>
            <w:shd w:fill="F3F5F7"/>
          </w:tcPr>
          <w:p>
            <w:pPr>
              <w:spacing w:after="0" w:line="250" w:lineRule="auto"/>
              <w:jc w:val="left"/>
            </w:pPr>
            <w:r>
              <w:rPr>
                <w:color w:val="262B30"/>
                <w:sz w:val="14"/>
              </w:rPr>
              <w:t>Conditional</w:t>
            </w:r>
          </w:p>
        </w:tc>
        <w:tc>
          <w:tcPr>
            <w:tcW w:type="dxa" w:w="3168"/>
            <w:tcMar>
              <w:top w:w="80" w:type="dxa"/>
              <w:start w:w="85" w:type="dxa"/>
              <w:bottom w:w="80" w:type="dxa"/>
              <w:end w:w="85" w:type="dxa"/>
            </w:tcMar>
            <w:vAlign w:val="center"/>
            <w:shd w:fill="F3F5F7"/>
          </w:tcPr>
          <w:p>
            <w:pPr>
              <w:spacing w:after="0" w:line="250" w:lineRule="auto"/>
              <w:jc w:val="left"/>
            </w:pPr>
            <w:r>
              <w:rPr>
                <w:color w:val="262B30"/>
                <w:sz w:val="14"/>
              </w:rPr>
              <w:t>Use trusted source material; teacher remains author and evaluator.</w:t>
            </w:r>
          </w:p>
        </w:tc>
      </w:tr>
      <w:tr>
        <w:trPr>
          <w:cantSplit/>
        </w:trPr>
        <w:tc>
          <w:tcPr>
            <w:tcW w:type="dxa" w:w="2376"/>
            <w:tcMar>
              <w:top w:w="80" w:type="dxa"/>
              <w:start w:w="85" w:type="dxa"/>
              <w:bottom w:w="80" w:type="dxa"/>
              <w:end w:w="85" w:type="dxa"/>
            </w:tcMar>
            <w:vAlign w:val="center"/>
          </w:tcPr>
          <w:p>
            <w:pPr>
              <w:spacing w:after="0" w:line="250" w:lineRule="auto"/>
              <w:jc w:val="left"/>
            </w:pPr>
            <w:r>
              <w:rPr>
                <w:color w:val="262B30"/>
                <w:sz w:val="14"/>
              </w:rPr>
              <w:t>Elicit and research assistants</w:t>
            </w:r>
          </w:p>
        </w:tc>
        <w:tc>
          <w:tcPr>
            <w:tcW w:type="dxa" w:w="3240"/>
            <w:tcMar>
              <w:top w:w="80" w:type="dxa"/>
              <w:start w:w="85" w:type="dxa"/>
              <w:bottom w:w="80" w:type="dxa"/>
              <w:end w:w="85" w:type="dxa"/>
            </w:tcMar>
            <w:vAlign w:val="center"/>
          </w:tcPr>
          <w:p>
            <w:pPr>
              <w:spacing w:after="0" w:line="250" w:lineRule="auto"/>
              <w:jc w:val="left"/>
            </w:pPr>
            <w:r>
              <w:rPr>
                <w:color w:val="262B30"/>
                <w:sz w:val="14"/>
              </w:rPr>
              <w:t>Scholarly discovery, screening, extraction, evidence tables</w:t>
            </w:r>
          </w:p>
        </w:tc>
        <w:tc>
          <w:tcPr>
            <w:tcW w:type="dxa" w:w="1800"/>
            <w:tcMar>
              <w:top w:w="80" w:type="dxa"/>
              <w:start w:w="85" w:type="dxa"/>
              <w:bottom w:w="80" w:type="dxa"/>
              <w:end w:w="85" w:type="dxa"/>
            </w:tcMar>
            <w:vAlign w:val="center"/>
          </w:tcPr>
          <w:p>
            <w:pPr>
              <w:spacing w:after="0" w:line="250" w:lineRule="auto"/>
              <w:jc w:val="left"/>
            </w:pPr>
            <w:r>
              <w:rPr>
                <w:color w:val="262B30"/>
                <w:sz w:val="14"/>
              </w:rPr>
              <w:t>Conditional for advanced learners</w:t>
            </w:r>
          </w:p>
        </w:tc>
        <w:tc>
          <w:tcPr>
            <w:tcW w:type="dxa" w:w="3168"/>
            <w:tcMar>
              <w:top w:w="80" w:type="dxa"/>
              <w:start w:w="85" w:type="dxa"/>
              <w:bottom w:w="80" w:type="dxa"/>
              <w:end w:w="85" w:type="dxa"/>
            </w:tcMar>
            <w:vAlign w:val="center"/>
          </w:tcPr>
          <w:p>
            <w:pPr>
              <w:spacing w:after="0" w:line="250" w:lineRule="auto"/>
              <w:jc w:val="left"/>
            </w:pPr>
            <w:r>
              <w:rPr>
                <w:color w:val="262B30"/>
                <w:sz w:val="14"/>
              </w:rPr>
              <w:t>Open and read the underlying papers; do not cite the summary alone.</w:t>
            </w:r>
          </w:p>
        </w:tc>
      </w:tr>
      <w:tr>
        <w:trPr>
          <w:cantSplit/>
        </w:trPr>
        <w:tc>
          <w:tcPr>
            <w:tcW w:type="dxa" w:w="2376"/>
            <w:tcMar>
              <w:top w:w="80" w:type="dxa"/>
              <w:start w:w="85" w:type="dxa"/>
              <w:bottom w:w="80" w:type="dxa"/>
              <w:end w:w="85" w:type="dxa"/>
            </w:tcMar>
            <w:vAlign w:val="center"/>
            <w:shd w:fill="F3F5F7"/>
          </w:tcPr>
          <w:p>
            <w:pPr>
              <w:spacing w:after="0" w:line="250" w:lineRule="auto"/>
              <w:jc w:val="left"/>
            </w:pPr>
            <w:r>
              <w:rPr>
                <w:color w:val="262B30"/>
                <w:sz w:val="14"/>
              </w:rPr>
              <w:t>GitHub Copilot</w:t>
            </w:r>
          </w:p>
        </w:tc>
        <w:tc>
          <w:tcPr>
            <w:tcW w:type="dxa" w:w="3240"/>
            <w:tcMar>
              <w:top w:w="80" w:type="dxa"/>
              <w:start w:w="85" w:type="dxa"/>
              <w:bottom w:w="80" w:type="dxa"/>
              <w:end w:w="85" w:type="dxa"/>
            </w:tcMar>
            <w:vAlign w:val="center"/>
            <w:shd w:fill="F3F5F7"/>
          </w:tcPr>
          <w:p>
            <w:pPr>
              <w:spacing w:after="0" w:line="250" w:lineRule="auto"/>
              <w:jc w:val="left"/>
            </w:pPr>
            <w:r>
              <w:rPr>
                <w:color w:val="262B30"/>
                <w:sz w:val="14"/>
              </w:rPr>
              <w:t>Code completion, explanation, tests, refactoring</w:t>
            </w:r>
          </w:p>
        </w:tc>
        <w:tc>
          <w:tcPr>
            <w:tcW w:type="dxa" w:w="1800"/>
            <w:tcMar>
              <w:top w:w="80" w:type="dxa"/>
              <w:start w:w="85" w:type="dxa"/>
              <w:bottom w:w="80" w:type="dxa"/>
              <w:end w:w="85" w:type="dxa"/>
            </w:tcMar>
            <w:vAlign w:val="center"/>
            <w:shd w:fill="F3F5F7"/>
          </w:tcPr>
          <w:p>
            <w:pPr>
              <w:spacing w:after="0" w:line="250" w:lineRule="auto"/>
              <w:jc w:val="left"/>
            </w:pPr>
            <w:r>
              <w:rPr>
                <w:color w:val="262B30"/>
                <w:sz w:val="14"/>
              </w:rPr>
              <w:t>Conditional after foundations</w:t>
            </w:r>
          </w:p>
        </w:tc>
        <w:tc>
          <w:tcPr>
            <w:tcW w:type="dxa" w:w="3168"/>
            <w:tcMar>
              <w:top w:w="80" w:type="dxa"/>
              <w:start w:w="85" w:type="dxa"/>
              <w:bottom w:w="80" w:type="dxa"/>
              <w:end w:w="85" w:type="dxa"/>
            </w:tcMar>
            <w:vAlign w:val="center"/>
            <w:shd w:fill="F3F5F7"/>
          </w:tcPr>
          <w:p>
            <w:pPr>
              <w:spacing w:after="0" w:line="250" w:lineRule="auto"/>
              <w:jc w:val="left"/>
            </w:pPr>
            <w:r>
              <w:rPr>
                <w:color w:val="262B30"/>
                <w:sz w:val="14"/>
              </w:rPr>
              <w:t>Require code tracing, tests, oral defense, and unaided tasks.</w:t>
            </w:r>
          </w:p>
        </w:tc>
      </w:tr>
      <w:tr>
        <w:trPr>
          <w:cantSplit/>
        </w:trPr>
        <w:tc>
          <w:tcPr>
            <w:tcW w:type="dxa" w:w="2376"/>
            <w:tcMar>
              <w:top w:w="80" w:type="dxa"/>
              <w:start w:w="85" w:type="dxa"/>
              <w:bottom w:w="80" w:type="dxa"/>
              <w:end w:w="85" w:type="dxa"/>
            </w:tcMar>
            <w:vAlign w:val="center"/>
          </w:tcPr>
          <w:p>
            <w:pPr>
              <w:spacing w:after="0" w:line="250" w:lineRule="auto"/>
              <w:jc w:val="left"/>
            </w:pPr>
            <w:r>
              <w:rPr>
                <w:color w:val="262B30"/>
                <w:sz w:val="14"/>
              </w:rPr>
              <w:t>Grammarly and rewriting tools</w:t>
            </w:r>
          </w:p>
        </w:tc>
        <w:tc>
          <w:tcPr>
            <w:tcW w:type="dxa" w:w="3240"/>
            <w:tcMar>
              <w:top w:w="80" w:type="dxa"/>
              <w:start w:w="85" w:type="dxa"/>
              <w:bottom w:w="80" w:type="dxa"/>
              <w:end w:w="85" w:type="dxa"/>
            </w:tcMar>
            <w:vAlign w:val="center"/>
          </w:tcPr>
          <w:p>
            <w:pPr>
              <w:spacing w:after="0" w:line="250" w:lineRule="auto"/>
              <w:jc w:val="left"/>
            </w:pPr>
            <w:r>
              <w:rPr>
                <w:color w:val="262B30"/>
                <w:sz w:val="14"/>
              </w:rPr>
              <w:t>Proofreading and targeted revision after a student draft</w:t>
            </w:r>
          </w:p>
        </w:tc>
        <w:tc>
          <w:tcPr>
            <w:tcW w:type="dxa" w:w="1800"/>
            <w:tcMar>
              <w:top w:w="80" w:type="dxa"/>
              <w:start w:w="85" w:type="dxa"/>
              <w:bottom w:w="80" w:type="dxa"/>
              <w:end w:w="85" w:type="dxa"/>
            </w:tcMar>
            <w:vAlign w:val="center"/>
          </w:tcPr>
          <w:p>
            <w:pPr>
              <w:spacing w:after="0" w:line="250" w:lineRule="auto"/>
              <w:jc w:val="left"/>
            </w:pPr>
            <w:r>
              <w:rPr>
                <w:color w:val="262B30"/>
                <w:sz w:val="14"/>
              </w:rPr>
              <w:t>Limited conditional use</w:t>
            </w:r>
          </w:p>
        </w:tc>
        <w:tc>
          <w:tcPr>
            <w:tcW w:type="dxa" w:w="3168"/>
            <w:tcMar>
              <w:top w:w="80" w:type="dxa"/>
              <w:start w:w="85" w:type="dxa"/>
              <w:bottom w:w="80" w:type="dxa"/>
              <w:end w:w="85" w:type="dxa"/>
            </w:tcMar>
            <w:vAlign w:val="center"/>
          </w:tcPr>
          <w:p>
            <w:pPr>
              <w:spacing w:after="0" w:line="250" w:lineRule="auto"/>
              <w:jc w:val="left"/>
            </w:pPr>
            <w:r>
              <w:rPr>
                <w:color w:val="262B30"/>
                <w:sz w:val="14"/>
              </w:rPr>
              <w:t>Disable or disclose generation that changes substance or voice.</w:t>
            </w:r>
          </w:p>
        </w:tc>
      </w:tr>
      <w:tr>
        <w:trPr>
          <w:cantSplit/>
        </w:trPr>
        <w:tc>
          <w:tcPr>
            <w:tcW w:type="dxa" w:w="2376"/>
            <w:tcMar>
              <w:top w:w="80" w:type="dxa"/>
              <w:start w:w="85" w:type="dxa"/>
              <w:bottom w:w="80" w:type="dxa"/>
              <w:end w:w="85" w:type="dxa"/>
            </w:tcMar>
            <w:vAlign w:val="center"/>
            <w:shd w:fill="F3F5F7"/>
          </w:tcPr>
          <w:p>
            <w:pPr>
              <w:spacing w:after="0" w:line="250" w:lineRule="auto"/>
              <w:jc w:val="left"/>
            </w:pPr>
            <w:r>
              <w:rPr>
                <w:color w:val="262B30"/>
                <w:sz w:val="14"/>
              </w:rPr>
              <w:t>General consumer chatbots</w:t>
            </w:r>
          </w:p>
        </w:tc>
        <w:tc>
          <w:tcPr>
            <w:tcW w:type="dxa" w:w="3240"/>
            <w:tcMar>
              <w:top w:w="80" w:type="dxa"/>
              <w:start w:w="85" w:type="dxa"/>
              <w:bottom w:w="80" w:type="dxa"/>
              <w:end w:w="85" w:type="dxa"/>
            </w:tcMar>
            <w:vAlign w:val="center"/>
            <w:shd w:fill="F3F5F7"/>
          </w:tcPr>
          <w:p>
            <w:pPr>
              <w:spacing w:after="0" w:line="250" w:lineRule="auto"/>
              <w:jc w:val="left"/>
            </w:pPr>
            <w:r>
              <w:rPr>
                <w:color w:val="262B30"/>
                <w:sz w:val="14"/>
              </w:rPr>
              <w:t>Brainstorming, critique, comparison, role simulation</w:t>
            </w:r>
          </w:p>
        </w:tc>
        <w:tc>
          <w:tcPr>
            <w:tcW w:type="dxa" w:w="1800"/>
            <w:tcMar>
              <w:top w:w="80" w:type="dxa"/>
              <w:start w:w="85" w:type="dxa"/>
              <w:bottom w:w="80" w:type="dxa"/>
              <w:end w:w="85" w:type="dxa"/>
            </w:tcMar>
            <w:vAlign w:val="center"/>
            <w:shd w:fill="F3F5F7"/>
          </w:tcPr>
          <w:p>
            <w:pPr>
              <w:spacing w:after="0" w:line="250" w:lineRule="auto"/>
              <w:jc w:val="left"/>
            </w:pPr>
            <w:r>
              <w:rPr>
                <w:color w:val="262B30"/>
                <w:sz w:val="14"/>
              </w:rPr>
              <w:t>Restricted</w:t>
            </w:r>
          </w:p>
        </w:tc>
        <w:tc>
          <w:tcPr>
            <w:tcW w:type="dxa" w:w="3168"/>
            <w:tcMar>
              <w:top w:w="80" w:type="dxa"/>
              <w:start w:w="85" w:type="dxa"/>
              <w:bottom w:w="80" w:type="dxa"/>
              <w:end w:w="85" w:type="dxa"/>
            </w:tcMar>
            <w:vAlign w:val="center"/>
            <w:shd w:fill="F3F5F7"/>
          </w:tcPr>
          <w:p>
            <w:pPr>
              <w:spacing w:after="0" w:line="250" w:lineRule="auto"/>
              <w:jc w:val="left"/>
            </w:pPr>
            <w:r>
              <w:rPr>
                <w:color w:val="262B30"/>
                <w:sz w:val="14"/>
              </w:rPr>
              <w:t>No foundational or high-stakes work without a controlled mode.</w:t>
            </w:r>
          </w:p>
        </w:tc>
      </w:tr>
      <w:tr>
        <w:trPr>
          <w:cantSplit/>
        </w:trPr>
        <w:tc>
          <w:tcPr>
            <w:tcW w:type="dxa" w:w="2376"/>
            <w:tcMar>
              <w:top w:w="80" w:type="dxa"/>
              <w:start w:w="85" w:type="dxa"/>
              <w:bottom w:w="80" w:type="dxa"/>
              <w:end w:w="85" w:type="dxa"/>
            </w:tcMar>
            <w:vAlign w:val="center"/>
          </w:tcPr>
          <w:p>
            <w:pPr>
              <w:spacing w:after="0" w:line="250" w:lineRule="auto"/>
              <w:jc w:val="left"/>
            </w:pPr>
            <w:r>
              <w:rPr>
                <w:color w:val="262B30"/>
                <w:sz w:val="14"/>
              </w:rPr>
              <w:t>AI companions or substitute counselors</w:t>
            </w:r>
          </w:p>
        </w:tc>
        <w:tc>
          <w:tcPr>
            <w:tcW w:type="dxa" w:w="3240"/>
            <w:tcMar>
              <w:top w:w="80" w:type="dxa"/>
              <w:start w:w="85" w:type="dxa"/>
              <w:bottom w:w="80" w:type="dxa"/>
              <w:end w:w="85" w:type="dxa"/>
            </w:tcMar>
            <w:vAlign w:val="center"/>
          </w:tcPr>
          <w:p>
            <w:pPr>
              <w:spacing w:after="0" w:line="250" w:lineRule="auto"/>
              <w:jc w:val="left"/>
            </w:pPr>
            <w:r>
              <w:rPr>
                <w:color w:val="262B30"/>
                <w:sz w:val="14"/>
              </w:rPr>
              <w:t>None as a normal instructional relationship</w:t>
            </w:r>
          </w:p>
        </w:tc>
        <w:tc>
          <w:tcPr>
            <w:tcW w:type="dxa" w:w="1800"/>
            <w:tcMar>
              <w:top w:w="80" w:type="dxa"/>
              <w:start w:w="85" w:type="dxa"/>
              <w:bottom w:w="80" w:type="dxa"/>
              <w:end w:w="85" w:type="dxa"/>
            </w:tcMar>
            <w:vAlign w:val="center"/>
          </w:tcPr>
          <w:p>
            <w:pPr>
              <w:spacing w:after="0" w:line="250" w:lineRule="auto"/>
              <w:jc w:val="left"/>
            </w:pPr>
            <w:r>
              <w:rPr>
                <w:color w:val="262B30"/>
                <w:sz w:val="14"/>
              </w:rPr>
              <w:t>Poor fit</w:t>
            </w:r>
          </w:p>
        </w:tc>
        <w:tc>
          <w:tcPr>
            <w:tcW w:type="dxa" w:w="3168"/>
            <w:tcMar>
              <w:top w:w="80" w:type="dxa"/>
              <w:start w:w="85" w:type="dxa"/>
              <w:bottom w:w="80" w:type="dxa"/>
              <w:end w:w="85" w:type="dxa"/>
            </w:tcMar>
            <w:vAlign w:val="center"/>
          </w:tcPr>
          <w:p>
            <w:pPr>
              <w:spacing w:after="0" w:line="250" w:lineRule="auto"/>
              <w:jc w:val="left"/>
            </w:pPr>
            <w:r>
              <w:rPr>
                <w:color w:val="262B30"/>
                <w:sz w:val="14"/>
              </w:rPr>
              <w:t>Do not position a machine as friend, spiritual guide, therapist, or teacher replacement.</w:t>
            </w:r>
          </w:p>
        </w:tc>
      </w:tr>
      <w:tr>
        <w:trPr>
          <w:cantSplit/>
        </w:trPr>
        <w:tc>
          <w:tcPr>
            <w:tcW w:type="dxa" w:w="2376"/>
            <w:tcMar>
              <w:top w:w="80" w:type="dxa"/>
              <w:start w:w="85" w:type="dxa"/>
              <w:bottom w:w="80" w:type="dxa"/>
              <w:end w:w="85" w:type="dxa"/>
            </w:tcMar>
            <w:vAlign w:val="center"/>
            <w:shd w:fill="F3F5F7"/>
          </w:tcPr>
          <w:p>
            <w:pPr>
              <w:spacing w:after="0" w:line="250" w:lineRule="auto"/>
              <w:jc w:val="left"/>
            </w:pPr>
            <w:r>
              <w:rPr>
                <w:color w:val="262B30"/>
                <w:sz w:val="14"/>
              </w:rPr>
              <w:t>Emotion recognition and pervasive monitoring</w:t>
            </w:r>
          </w:p>
        </w:tc>
        <w:tc>
          <w:tcPr>
            <w:tcW w:type="dxa" w:w="3240"/>
            <w:tcMar>
              <w:top w:w="80" w:type="dxa"/>
              <w:start w:w="85" w:type="dxa"/>
              <w:bottom w:w="80" w:type="dxa"/>
              <w:end w:w="85" w:type="dxa"/>
            </w:tcMar>
            <w:vAlign w:val="center"/>
            <w:shd w:fill="F3F5F7"/>
          </w:tcPr>
          <w:p>
            <w:pPr>
              <w:spacing w:after="0" w:line="250" w:lineRule="auto"/>
              <w:jc w:val="left"/>
            </w:pPr>
            <w:r>
              <w:rPr>
                <w:color w:val="262B30"/>
                <w:sz w:val="14"/>
              </w:rPr>
              <w:t>Narrow safety or accessibility cases only</w:t>
            </w:r>
          </w:p>
        </w:tc>
        <w:tc>
          <w:tcPr>
            <w:tcW w:type="dxa" w:w="1800"/>
            <w:tcMar>
              <w:top w:w="80" w:type="dxa"/>
              <w:start w:w="85" w:type="dxa"/>
              <w:bottom w:w="80" w:type="dxa"/>
              <w:end w:w="85" w:type="dxa"/>
            </w:tcMar>
            <w:vAlign w:val="center"/>
            <w:shd w:fill="F3F5F7"/>
          </w:tcPr>
          <w:p>
            <w:pPr>
              <w:spacing w:after="0" w:line="250" w:lineRule="auto"/>
              <w:jc w:val="left"/>
            </w:pPr>
            <w:r>
              <w:rPr>
                <w:color w:val="262B30"/>
                <w:sz w:val="14"/>
              </w:rPr>
              <w:t>Poor fit for routine use</w:t>
            </w:r>
          </w:p>
        </w:tc>
        <w:tc>
          <w:tcPr>
            <w:tcW w:type="dxa" w:w="3168"/>
            <w:tcMar>
              <w:top w:w="80" w:type="dxa"/>
              <w:start w:w="85" w:type="dxa"/>
              <w:bottom w:w="80" w:type="dxa"/>
              <w:end w:w="85" w:type="dxa"/>
            </w:tcMar>
            <w:vAlign w:val="center"/>
            <w:shd w:fill="F3F5F7"/>
          </w:tcPr>
          <w:p>
            <w:pPr>
              <w:spacing w:after="0" w:line="250" w:lineRule="auto"/>
              <w:jc w:val="left"/>
            </w:pPr>
            <w:r>
              <w:rPr>
                <w:color w:val="262B30"/>
                <w:sz w:val="14"/>
              </w:rPr>
              <w:t>Require necessity, validity, consent, minimization, and human review.</w:t>
            </w:r>
          </w:p>
        </w:tc>
      </w:tr>
    </w:tbl>
    <w:p>
      <w:pPr>
        <w:spacing w:after="0"/>
      </w:pPr>
    </w:p>
    <w:p>
      <w:pPr>
        <w:pStyle w:val="Heading2"/>
      </w:pPr>
      <w:r>
        <w:t>What rises to the top</w:t>
      </w:r>
    </w:p>
    <w:p>
      <w:r>
        <w:t>Khanmigo and source-bounded notebook systems are the clearest current matches for routine learning because their visible design constrains the model’s role. ChatGPT Study Mode, Claude Learning Mode, and Gemini’s guided features can support serious learning, but they remain embedded in broad assistants that can also generate finished work. Teacher platforms are strongest when they return time and insight to a human educator rather than automate the educational relationship.</w:t>
      </w:r>
    </w:p>
    <w:p>
      <w:r>
        <w:br w:type="page"/>
      </w:r>
    </w:p>
    <w:p>
      <w:pPr>
        <w:pStyle w:val="Heading1"/>
      </w:pPr>
      <w:r>
        <w:t>4  Guided tutors</w:t>
      </w:r>
    </w:p>
    <w:p>
      <w:pPr>
        <w:pStyle w:val="Heading2"/>
      </w:pPr>
      <w:r>
        <w:t>Khanmigo</w:t>
      </w:r>
    </w:p>
    <w:p>
      <w:pPr>
        <w:spacing w:after="80"/>
      </w:pPr>
      <w:r>
        <w:rPr>
          <w:b/>
          <w:color w:val="000000"/>
        </w:rPr>
        <w:t xml:space="preserve">Why it fits: </w:t>
      </w:r>
      <w:r>
        <w:t>Khan Academy describes Khanmigo as guiding learners without giving direct answers. It supports personalized tutoring, writing and debate prompts, coding feedback, teacher summaries, and parent access to interaction history and moderation alerts. Access for minors requires a parent or participating school or district.</w:t>
      </w:r>
    </w:p>
    <w:p>
      <w:pPr>
        <w:spacing w:after="80"/>
      </w:pPr>
      <w:r>
        <w:rPr>
          <w:b/>
          <w:color w:val="000000"/>
        </w:rPr>
        <w:t xml:space="preserve">Best use: </w:t>
      </w:r>
      <w:r>
        <w:t>Mathematics and coding hints, guided writing conferences, debate practice, and formative feedback after the student has attempted the work.</w:t>
      </w:r>
    </w:p>
    <w:p>
      <w:pPr>
        <w:spacing w:after="80"/>
      </w:pPr>
      <w:r>
        <w:rPr>
          <w:b/>
          <w:color w:val="000000"/>
        </w:rPr>
        <w:t xml:space="preserve">Required safeguards: </w:t>
      </w:r>
      <w:r>
        <w:t>Limit sessions; preserve notebook or scratch work; ask the learner to restate the reasoning; require periodic closed-tool performance; review flagged conversations; compare gains against ordinary Khan Academy practice or human tutoring.</w:t>
      </w:r>
    </w:p>
    <w:p>
      <w:pPr>
        <w:spacing w:after="80"/>
      </w:pPr>
      <w:r>
        <w:rPr>
          <w:b/>
          <w:color w:val="000000"/>
        </w:rPr>
        <w:t xml:space="preserve">Judgment: </w:t>
      </w:r>
      <w:r>
        <w:t>Good fit with safeguards from later elementary through college. For younger students, adult presence and short sessions matter more than product capability.</w:t>
      </w:r>
    </w:p>
    <w:p>
      <w:pPr>
        <w:pStyle w:val="Heading2"/>
      </w:pPr>
      <w:r>
        <w:t>ChatGPT Study Mode</w:t>
      </w:r>
    </w:p>
    <w:p>
      <w:pPr>
        <w:spacing w:after="80"/>
      </w:pPr>
      <w:r>
        <w:rPr>
          <w:b/>
          <w:color w:val="000000"/>
        </w:rPr>
        <w:t xml:space="preserve">Why it fits: </w:t>
      </w:r>
      <w:r>
        <w:t>Study-oriented use can ask questions, break concepts into steps, adapt explanations, and encourage a learner to work through a problem. Institutional ChatGPT Edu accounts add administrative and privacy controls that consumer access may not provide.</w:t>
      </w:r>
    </w:p>
    <w:p>
      <w:pPr>
        <w:spacing w:after="80"/>
      </w:pPr>
      <w:r>
        <w:rPr>
          <w:b/>
          <w:color w:val="000000"/>
        </w:rPr>
        <w:t xml:space="preserve">Best use: </w:t>
      </w:r>
      <w:r>
        <w:t>High-school and college explanation, practice questions, oral rehearsal, counterarguments, error diagnosis, and critique of the student’s own attempt.</w:t>
      </w:r>
    </w:p>
    <w:p>
      <w:pPr>
        <w:spacing w:after="80"/>
      </w:pPr>
      <w:r>
        <w:rPr>
          <w:b/>
          <w:color w:val="000000"/>
        </w:rPr>
        <w:t xml:space="preserve">Required safeguards: </w:t>
      </w:r>
      <w:r>
        <w:t>Use a course instruction that withholds finished answers; keep sources visible; disclose assistance; follow with an oral, handwritten, live, or supervised task. Do not allow switching to unrestricted generation during protected practice.</w:t>
      </w:r>
    </w:p>
    <w:p>
      <w:pPr>
        <w:spacing w:after="80"/>
      </w:pPr>
      <w:r>
        <w:rPr>
          <w:b/>
          <w:color w:val="000000"/>
        </w:rPr>
        <w:t xml:space="preserve">Judgment: </w:t>
      </w:r>
      <w:r>
        <w:t>Conditional to good for mature learners. A study interface does not by itself prove learning; the assignment and verification system remain decisive.</w:t>
      </w:r>
    </w:p>
    <w:p>
      <w:pPr>
        <w:pStyle w:val="Heading2"/>
      </w:pPr>
      <w:r>
        <w:t>Claude Learning Mode</w:t>
      </w:r>
    </w:p>
    <w:p>
      <w:pPr>
        <w:spacing w:after="80"/>
      </w:pPr>
      <w:r>
        <w:rPr>
          <w:b/>
          <w:color w:val="000000"/>
        </w:rPr>
        <w:t xml:space="preserve">Why it fits: </w:t>
      </w:r>
      <w:r>
        <w:t>Anthropic states that Learning Mode guides reasoning, uses Socratic questions, emphasizes core concepts, and offers templates within course projects. The product is positioned for higher education.</w:t>
      </w:r>
    </w:p>
    <w:p>
      <w:pPr>
        <w:spacing w:after="80"/>
      </w:pPr>
      <w:r>
        <w:rPr>
          <w:b/>
          <w:color w:val="000000"/>
        </w:rPr>
        <w:t xml:space="preserve">Best use: </w:t>
      </w:r>
      <w:r>
        <w:t>Conceptual explanation, thesis testing, evidence questions, literature-review planning, and feedback before final submission.</w:t>
      </w:r>
    </w:p>
    <w:p>
      <w:pPr>
        <w:spacing w:after="80"/>
      </w:pPr>
      <w:r>
        <w:rPr>
          <w:b/>
          <w:color w:val="000000"/>
        </w:rPr>
        <w:t xml:space="preserve">Required safeguards: </w:t>
      </w:r>
      <w:r>
        <w:t>Students must read cited work, maintain their own notes, produce the substantive argument, and defend it without the model.</w:t>
      </w:r>
    </w:p>
    <w:p>
      <w:pPr>
        <w:spacing w:after="80"/>
      </w:pPr>
      <w:r>
        <w:rPr>
          <w:b/>
          <w:color w:val="000000"/>
        </w:rPr>
        <w:t xml:space="preserve">Judgment: </w:t>
      </w:r>
      <w:r>
        <w:t>Conditional to good for college use. Public outcome evidence remains less developed than the feature description.</w:t>
      </w:r>
    </w:p>
    <w:p>
      <w:r>
        <w:br w:type="page"/>
      </w:r>
    </w:p>
    <w:p>
      <w:pPr>
        <w:pStyle w:val="Heading1"/>
      </w:pPr>
      <w:r>
        <w:t>5  Source bounded research and study tools</w:t>
      </w:r>
    </w:p>
    <w:p>
      <w:pPr>
        <w:pStyle w:val="Heading2"/>
      </w:pPr>
      <w:r>
        <w:t>Gemini Notebook and NotebookLM</w:t>
      </w:r>
    </w:p>
    <w:p>
      <w:pPr>
        <w:spacing w:after="80"/>
      </w:pPr>
      <w:r>
        <w:rPr>
          <w:b/>
          <w:color w:val="000000"/>
        </w:rPr>
        <w:t xml:space="preserve">Why it fits: </w:t>
      </w:r>
      <w:r>
        <w:t>Google describes its education notebook as a walled garden grounded in sources supplied by the user. It can produce explanations, questions, study materials, and audio overviews while linking responses to the source collection. School accounts receive administrative and data protections under Google Workspace for Education terms.</w:t>
      </w:r>
    </w:p>
    <w:p>
      <w:pPr>
        <w:spacing w:after="80"/>
      </w:pPr>
      <w:r>
        <w:rPr>
          <w:b/>
          <w:color w:val="000000"/>
        </w:rPr>
        <w:t xml:space="preserve">Best use: </w:t>
      </w:r>
      <w:r>
        <w:t>Close reading across assigned documents, comparison of primary sources, retrieval from a course packet, question generation, and preparation for a human seminar or oral examination.</w:t>
      </w:r>
    </w:p>
    <w:p>
      <w:pPr>
        <w:spacing w:after="80"/>
      </w:pPr>
      <w:r>
        <w:rPr>
          <w:b/>
          <w:color w:val="000000"/>
        </w:rPr>
        <w:t xml:space="preserve">Required safeguards: </w:t>
      </w:r>
      <w:r>
        <w:t>The teacher curates the source set; students distinguish quotation, paraphrase, and model inference; every important claim is opened in context; audio summaries supplement rather than replace reading; the final assessment includes unaided explanation.</w:t>
      </w:r>
    </w:p>
    <w:p>
      <w:pPr>
        <w:spacing w:after="80"/>
      </w:pPr>
      <w:r>
        <w:rPr>
          <w:b/>
          <w:color w:val="000000"/>
        </w:rPr>
        <w:t xml:space="preserve">Judgment: </w:t>
      </w:r>
      <w:r>
        <w:t>Good fit with safeguards from middle school onward. It is among the strongest current tools for truth and provenance because the evidence boundary is visible, but a weak or one-sided source set still produces weak learning.</w:t>
      </w:r>
    </w:p>
    <w:p>
      <w:pPr>
        <w:pStyle w:val="Heading2"/>
      </w:pPr>
      <w:r>
        <w:t>Elicit and academic research assistants</w:t>
      </w:r>
    </w:p>
    <w:p>
      <w:pPr>
        <w:spacing w:after="80"/>
      </w:pPr>
      <w:r>
        <w:rPr>
          <w:b/>
          <w:color w:val="000000"/>
        </w:rPr>
        <w:t xml:space="preserve">Why they fit: </w:t>
      </w:r>
      <w:r>
        <w:t>Elicit searches academic literature, extracts information, and attaches sentence-level citations. Similar academic search systems can help students discover vocabulary, competing findings, methods, and gaps.</w:t>
      </w:r>
    </w:p>
    <w:p>
      <w:pPr>
        <w:spacing w:after="80"/>
      </w:pPr>
      <w:r>
        <w:rPr>
          <w:b/>
          <w:color w:val="000000"/>
        </w:rPr>
        <w:t xml:space="preserve">Best use: </w:t>
      </w:r>
      <w:r>
        <w:t>College and graduate literature discovery, evidence tables, study screening, and comparison of methods or findings.</w:t>
      </w:r>
    </w:p>
    <w:p>
      <w:pPr>
        <w:spacing w:after="80"/>
      </w:pPr>
      <w:r>
        <w:rPr>
          <w:b/>
          <w:color w:val="000000"/>
        </w:rPr>
        <w:t xml:space="preserve">Required safeguards: </w:t>
      </w:r>
      <w:r>
        <w:t>Treat the tool as an index and extraction assistant. Open each paper, inspect methods and limitations, record inclusion decisions, search outside the platform, and cite the original source.</w:t>
      </w:r>
    </w:p>
    <w:p>
      <w:pPr>
        <w:spacing w:after="80"/>
      </w:pPr>
      <w:r>
        <w:rPr>
          <w:b/>
          <w:color w:val="000000"/>
        </w:rPr>
        <w:t xml:space="preserve">Judgment: </w:t>
      </w:r>
      <w:r>
        <w:t>Conditional for advanced learners. These tools can strengthen evidence discipline, but automated synthesis can hide search omissions, poor study quality, or disagreement.</w:t>
      </w:r>
    </w:p>
    <w:p>
      <w:pPr>
        <w:pStyle w:val="Heading2"/>
      </w:pPr>
      <w:r>
        <w:t>General citation and answer engines</w:t>
      </w:r>
    </w:p>
    <w:p>
      <w:r>
        <w:t>Citation links improve inspectability, but a citation is not proof that the source supports the sentence. These systems are appropriate for discovery only when the learner opens the cited material and can explain why it is credible, relevant, and sufficient.</w:t>
      </w:r>
    </w:p>
    <w:p>
      <w:r>
        <w:br w:type="page"/>
      </w:r>
    </w:p>
    <w:p>
      <w:pPr>
        <w:pStyle w:val="Heading1"/>
      </w:pPr>
      <w:r>
        <w:t>6  Teacher controlled platforms</w:t>
      </w:r>
    </w:p>
    <w:p>
      <w:pPr>
        <w:pStyle w:val="Heading2"/>
      </w:pPr>
      <w:r>
        <w:t>MagicSchool and MagicStudent</w:t>
      </w:r>
    </w:p>
    <w:p>
      <w:pPr>
        <w:spacing w:after="80"/>
      </w:pPr>
      <w:r>
        <w:rPr>
          <w:b/>
          <w:color w:val="000000"/>
        </w:rPr>
        <w:t xml:space="preserve">Why it may fit: </w:t>
      </w:r>
      <w:r>
        <w:t>MagicSchool provides teacher planning, differentiation, rubrics, feedback, and teacher-led student tools. Its public materials describe administrative controls, content moderation, role-based access, zero data retention with model providers, and third-party privacy certifications.</w:t>
      </w:r>
    </w:p>
    <w:p>
      <w:pPr>
        <w:spacing w:after="80"/>
      </w:pPr>
      <w:r>
        <w:rPr>
          <w:b/>
          <w:color w:val="000000"/>
        </w:rPr>
        <w:t xml:space="preserve">Best use: </w:t>
      </w:r>
      <w:r>
        <w:t>Reducing clerical preparation, generating options that a teacher edits, creating bounded practice, and giving students AI-literacy exercises under teacher supervision.</w:t>
      </w:r>
    </w:p>
    <w:p>
      <w:pPr>
        <w:spacing w:after="80"/>
      </w:pPr>
      <w:r>
        <w:rPr>
          <w:b/>
          <w:color w:val="000000"/>
        </w:rPr>
        <w:t xml:space="preserve">Risk: </w:t>
      </w:r>
      <w:r>
        <w:t>Large menus of generators can encourage quantity over curricular coherence. AI-generated individualized education program drafts, grading, or comments require special caution because errors can affect consequential decisions and relationships.</w:t>
      </w:r>
    </w:p>
    <w:p>
      <w:pPr>
        <w:spacing w:after="80"/>
      </w:pPr>
      <w:r>
        <w:rPr>
          <w:b/>
          <w:color w:val="000000"/>
        </w:rPr>
        <w:t xml:space="preserve">Judgment: </w:t>
      </w:r>
      <w:r>
        <w:t>Conditional. Strong privacy claims and school controls improve institutional suitability, but educators must review content and retain authorship of consequential judgments.</w:t>
      </w:r>
    </w:p>
    <w:p>
      <w:pPr>
        <w:pStyle w:val="Heading2"/>
      </w:pPr>
      <w:r>
        <w:t>SchoolAI Spaces</w:t>
      </w:r>
    </w:p>
    <w:p>
      <w:pPr>
        <w:spacing w:after="80"/>
      </w:pPr>
      <w:r>
        <w:rPr>
          <w:b/>
          <w:color w:val="000000"/>
        </w:rPr>
        <w:t xml:space="preserve">Why it may fit: </w:t>
      </w:r>
      <w:r>
        <w:t>Teachers design Spaces, control how the AI responds, and view student activity through Mission Control. Public materials describe configuration, crisis flags, non-human disclosure, privacy commitments, and emerging evidence about higher-order student interactions.</w:t>
      </w:r>
    </w:p>
    <w:p>
      <w:pPr>
        <w:spacing w:after="80"/>
      </w:pPr>
      <w:r>
        <w:rPr>
          <w:b/>
          <w:color w:val="000000"/>
        </w:rPr>
        <w:t xml:space="preserve">Best use: </w:t>
      </w:r>
      <w:r>
        <w:t>Teacher-designed simulations, guided practice, targeted questioning, and real-time identification of students who need human help.</w:t>
      </w:r>
    </w:p>
    <w:p>
      <w:pPr>
        <w:spacing w:after="80"/>
      </w:pPr>
      <w:r>
        <w:rPr>
          <w:b/>
          <w:color w:val="000000"/>
        </w:rPr>
        <w:t xml:space="preserve">Risk: </w:t>
      </w:r>
      <w:r>
        <w:t>Dashboard inferences can appear more precise than they are. A conversation pattern is not automatically evidence of comprehension, mental state, or mastery. Monitoring can also change student behavior and trust.</w:t>
      </w:r>
    </w:p>
    <w:p>
      <w:pPr>
        <w:spacing w:after="80"/>
      </w:pPr>
      <w:r>
        <w:rPr>
          <w:b/>
          <w:color w:val="000000"/>
        </w:rPr>
        <w:t xml:space="preserve">Judgment: </w:t>
      </w:r>
      <w:r>
        <w:t>Conditional. Promising for keeping the teacher in control, provided that human follow-up and independent assessment validate what the dashboard suggests.</w:t>
      </w:r>
    </w:p>
    <w:p>
      <w:pPr>
        <w:pStyle w:val="Heading2"/>
      </w:pPr>
      <w:r>
        <w:t>Brisk Teaching</w:t>
      </w:r>
    </w:p>
    <w:p>
      <w:pPr>
        <w:spacing w:after="80"/>
      </w:pPr>
      <w:r>
        <w:rPr>
          <w:b/>
          <w:color w:val="000000"/>
        </w:rPr>
        <w:t xml:space="preserve">Why it may fit: </w:t>
      </w:r>
      <w:r>
        <w:t>Brisk works inside materials educators already use and can create lessons, differentiate texts, generate feedback, inspect revisions, and build student activities from selected resources.</w:t>
      </w:r>
    </w:p>
    <w:p>
      <w:pPr>
        <w:spacing w:after="80"/>
      </w:pPr>
      <w:r>
        <w:rPr>
          <w:b/>
          <w:color w:val="000000"/>
        </w:rPr>
        <w:t xml:space="preserve">Best use: </w:t>
      </w:r>
      <w:r>
        <w:t>Teacher preparation, translation, accessibility, question generation, and first-pass feedback that the teacher reviews.</w:t>
      </w:r>
    </w:p>
    <w:p>
      <w:pPr>
        <w:spacing w:after="80"/>
      </w:pPr>
      <w:r>
        <w:rPr>
          <w:b/>
          <w:color w:val="000000"/>
        </w:rPr>
        <w:t xml:space="preserve">Risk: </w:t>
      </w:r>
      <w:r>
        <w:t>Automatic feedback and writing inspection may flatten voice, misread intention, or create unwarranted suspicion. Teachers must not outsource evaluation of originality or character.</w:t>
      </w:r>
    </w:p>
    <w:p>
      <w:pPr>
        <w:spacing w:after="80"/>
      </w:pPr>
      <w:r>
        <w:rPr>
          <w:b/>
          <w:color w:val="000000"/>
        </w:rPr>
        <w:t xml:space="preserve">Judgment: </w:t>
      </w:r>
      <w:r>
        <w:t>Conditional as a teacher assistant. Student learning depends on the quality of the source, prompt, review, and follow-up task.</w:t>
      </w:r>
    </w:p>
    <w:p>
      <w:r>
        <w:br w:type="page"/>
      </w:r>
    </w:p>
    <w:p>
      <w:pPr>
        <w:pStyle w:val="Heading1"/>
      </w:pPr>
      <w:r>
        <w:t>7  Writing coding and creative tools</w:t>
      </w:r>
    </w:p>
    <w:p>
      <w:pPr>
        <w:pStyle w:val="Heading2"/>
      </w:pPr>
      <w:r>
        <w:t>Writing assistants and Grammarly</w:t>
      </w:r>
    </w:p>
    <w:p>
      <w:pPr>
        <w:spacing w:after="80"/>
      </w:pPr>
      <w:r>
        <w:rPr>
          <w:b/>
          <w:color w:val="000000"/>
        </w:rPr>
        <w:t xml:space="preserve">Appropriate role: </w:t>
      </w:r>
      <w:r>
        <w:t>Spelling, punctuation, accessibility, formatting, and targeted revision after a student has written a complete first draft. A student may compare one suggested sentence with the original and explain the choice.</w:t>
      </w:r>
    </w:p>
    <w:p>
      <w:pPr>
        <w:spacing w:after="80"/>
      </w:pPr>
      <w:r>
        <w:rPr>
          <w:b/>
          <w:color w:val="000000"/>
        </w:rPr>
        <w:t xml:space="preserve">Boundary: </w:t>
      </w:r>
      <w:r>
        <w:t>Generating the thesis, structure, paragraphs, examples, or voice replaces the very capability most writing assignments are meant to reveal. Disclosure does not restore lost practice.</w:t>
      </w:r>
    </w:p>
    <w:p>
      <w:pPr>
        <w:spacing w:after="80"/>
      </w:pPr>
      <w:r>
        <w:rPr>
          <w:b/>
          <w:color w:val="000000"/>
        </w:rPr>
        <w:t xml:space="preserve">Judgment: </w:t>
      </w:r>
      <w:r>
        <w:t>Limited conditional use. The more a feature changes meaning or organization, the later it should enter the process and the stronger the authorship record should be.</w:t>
      </w:r>
    </w:p>
    <w:p>
      <w:pPr>
        <w:pStyle w:val="Heading2"/>
      </w:pPr>
      <w:r>
        <w:t>GitHub Copilot and coding assistants</w:t>
      </w:r>
    </w:p>
    <w:p>
      <w:pPr>
        <w:spacing w:after="80"/>
      </w:pPr>
      <w:r>
        <w:rPr>
          <w:b/>
          <w:color w:val="000000"/>
        </w:rPr>
        <w:t xml:space="preserve">Appropriate role: </w:t>
      </w:r>
      <w:r>
        <w:t>Explaining an error, generating test cases, comparing implementations, refactoring code a student understands, and working with professional tools after foundations are established.</w:t>
      </w:r>
    </w:p>
    <w:p>
      <w:pPr>
        <w:spacing w:after="80"/>
      </w:pPr>
      <w:r>
        <w:rPr>
          <w:b/>
          <w:color w:val="000000"/>
        </w:rPr>
        <w:t xml:space="preserve">Boundary: </w:t>
      </w:r>
      <w:r>
        <w:t>Beginners can produce functioning code they cannot trace, test, secure, or modify. Schools should protect syntax, algorithms, debugging, and design practice before allowing routine completion or agentic implementation.</w:t>
      </w:r>
    </w:p>
    <w:p>
      <w:pPr>
        <w:spacing w:after="80"/>
      </w:pPr>
      <w:r>
        <w:rPr>
          <w:b/>
          <w:color w:val="000000"/>
        </w:rPr>
        <w:t xml:space="preserve">Verification: </w:t>
      </w:r>
      <w:r>
        <w:t>Require students to predict output, explain each dependency, write tests, repair a seeded defect, modify the program live, and complete periodic unaided exercises.</w:t>
      </w:r>
    </w:p>
    <w:p>
      <w:pPr>
        <w:spacing w:after="80"/>
      </w:pPr>
      <w:r>
        <w:rPr>
          <w:b/>
          <w:color w:val="000000"/>
        </w:rPr>
        <w:t xml:space="preserve">Judgment: </w:t>
      </w:r>
      <w:r>
        <w:t>Conditional for advanced high school and college. Poor fit when the assignment measures basic construction or debugging fluency.</w:t>
      </w:r>
    </w:p>
    <w:p>
      <w:pPr>
        <w:pStyle w:val="Heading2"/>
      </w:pPr>
      <w:r>
        <w:t>Image audio and video generators</w:t>
      </w:r>
    </w:p>
    <w:p>
      <w:pPr>
        <w:spacing w:after="80"/>
      </w:pPr>
      <w:r>
        <w:rPr>
          <w:b/>
          <w:color w:val="000000"/>
        </w:rPr>
        <w:t xml:space="preserve">Appropriate role: </w:t>
      </w:r>
      <w:r>
        <w:t>Exploring visual alternatives, storyboarding, testing prompts as a form of media literacy, accessibility, or producing components when manual craft is not the objective.</w:t>
      </w:r>
    </w:p>
    <w:p>
      <w:pPr>
        <w:spacing w:after="80"/>
      </w:pPr>
      <w:r>
        <w:rPr>
          <w:b/>
          <w:color w:val="000000"/>
        </w:rPr>
        <w:t xml:space="preserve">Boundary: </w:t>
      </w:r>
      <w:r>
        <w:t>Do not substitute generation for observation, drawing, performance, composition, or craft practice when those are the learning goals. Protect consent, likeness, copyright, provenance, and cultural context.</w:t>
      </w:r>
    </w:p>
    <w:p>
      <w:pPr>
        <w:spacing w:after="80"/>
      </w:pPr>
      <w:r>
        <w:rPr>
          <w:b/>
          <w:color w:val="000000"/>
        </w:rPr>
        <w:t xml:space="preserve">Judgment: </w:t>
      </w:r>
      <w:r>
        <w:t>Conditional. Require a concept created by the student, a process record, source disclosure, and a critique of what the model introduced or distorted.</w:t>
      </w:r>
    </w:p>
    <w:p>
      <w:r>
        <w:br w:type="page"/>
      </w:r>
    </w:p>
    <w:p>
      <w:pPr>
        <w:pStyle w:val="Heading1"/>
      </w:pPr>
      <w:r>
        <w:t>8  Uses that conflict with formation</w:t>
      </w:r>
    </w:p>
    <w:p>
      <w:pPr>
        <w:pStyle w:val="Heading2"/>
      </w:pPr>
      <w:r>
        <w:t>Finished answer generation</w:t>
      </w:r>
    </w:p>
    <w:p>
      <w:r>
        <w:t>When the assignment exists to develop reading, memory, calculation, writing, or reasoning, a finished AI answer replaces the evidence of learning. It should be prohibited during foundational practice and protected assessment. Allowing disclosure does not solve the educational loss.</w:t>
      </w:r>
    </w:p>
    <w:p>
      <w:pPr>
        <w:pStyle w:val="Heading2"/>
      </w:pPr>
      <w:r>
        <w:t>AI companions and substitute relationships</w:t>
      </w:r>
    </w:p>
    <w:p>
      <w:r>
        <w:t>A conversational system may feel patient and attentive, but it does not assume the obligations of a parent, teacher, friend, counselor, pastor, or clinician. Schools should not market ordinary chatbots as relationships or use them to replace belonging, spiritual direction, counseling, or mentorship. A support tool must identify itself as a machine and route risk or distress to a qualified human.</w:t>
      </w:r>
    </w:p>
    <w:p>
      <w:pPr>
        <w:pStyle w:val="Heading2"/>
      </w:pPr>
      <w:r>
        <w:t>Emotion recognition and behavioral inference</w:t>
      </w:r>
    </w:p>
    <w:p>
      <w:r>
        <w:t>Systems that infer attention, emotion, honesty, risk, or character from faces, voice, writing, or interaction logs can create false precision and intrusive records. Routine use is a poor fit. A narrow exception would require a demonstrated educational or safety need, validated performance for the population, minimal collection, short retention, human review, an appeal process, and a non-punitive alternative.</w:t>
      </w:r>
    </w:p>
    <w:p>
      <w:pPr>
        <w:pStyle w:val="Heading2"/>
      </w:pPr>
      <w:r>
        <w:t>Automated grading of consequential work</w:t>
      </w:r>
    </w:p>
    <w:p>
      <w:r>
        <w:t>AI can organize evidence or suggest feedback, but it should not make final decisions about grades, discipline, disability services, admission, or student character. The responsible adult must inspect the student’s actual work, understand the model’s basis, and remain accountable for the judgment.</w:t>
      </w:r>
    </w:p>
    <w:p>
      <w:pPr>
        <w:pStyle w:val="Heading2"/>
      </w:pPr>
      <w:r>
        <w:t>Unrestricted use by younger children</w:t>
      </w:r>
    </w:p>
    <w:p>
      <w:r>
        <w:t>Elementary education should prioritize language with adults, reading, memory, handwriting, number sense, play, nature, making, and direct experience. Teacher-facing AI may reduce preparation time, but unsupervised generative chat should not become a child’s default path to explanation or imagination.</w:t>
      </w:r>
    </w:p>
    <w:p>
      <w:pPr>
        <w:pStyle w:val="Heading2"/>
      </w:pPr>
      <w:r>
        <w:t>Mental fitness test</w:t>
      </w:r>
    </w:p>
    <w:p>
      <w:pPr>
        <w:pStyle w:val="ListBullet"/>
        <w:spacing w:after="48"/>
        <w:ind w:left="331" w:hanging="202"/>
      </w:pPr>
      <w:r>
        <w:t>Does the tool increase sustained attention or reward rapid switching?</w:t>
      </w:r>
    </w:p>
    <w:p>
      <w:pPr>
        <w:pStyle w:val="ListBullet"/>
        <w:spacing w:after="48"/>
        <w:ind w:left="331" w:hanging="202"/>
      </w:pPr>
      <w:r>
        <w:t>Does it lead back to books, people, physical activity, and real work?</w:t>
      </w:r>
    </w:p>
    <w:p>
      <w:pPr>
        <w:pStyle w:val="ListBullet"/>
        <w:spacing w:after="48"/>
        <w:ind w:left="331" w:hanging="202"/>
      </w:pPr>
      <w:r>
        <w:t>Can the student stop using it without anxiety or loss of confidence?</w:t>
      </w:r>
    </w:p>
    <w:p>
      <w:pPr>
        <w:pStyle w:val="ListBullet"/>
        <w:spacing w:after="48"/>
        <w:ind w:left="331" w:hanging="202"/>
      </w:pPr>
      <w:r>
        <w:t>Does it strengthen help-seeking from people or allow avoidance of them?</w:t>
      </w:r>
    </w:p>
    <w:p>
      <w:pPr>
        <w:pStyle w:val="ListBullet"/>
        <w:spacing w:after="48"/>
        <w:ind w:left="331" w:hanging="202"/>
      </w:pPr>
      <w:r>
        <w:t>Is the learner becoming more capable without the tool over time?</w:t>
      </w:r>
    </w:p>
    <w:p>
      <w:r>
        <w:br w:type="page"/>
      </w:r>
    </w:p>
    <w:p>
      <w:pPr>
        <w:pStyle w:val="Heading1"/>
      </w:pPr>
      <w:r>
        <w:t>9  Recommendations by age</w:t>
      </w:r>
    </w:p>
    <w:tbl>
      <w:tblPr>
        <w:tblW w:type="auto" w:w="0"/>
        <w:jc w:val="center"/>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556"/>
        <w:gridCol w:w="2556"/>
        <w:gridCol w:w="2556"/>
        <w:gridCol w:w="2556"/>
      </w:tblGrid>
      <w:tr>
        <w:trPr>
          <w:tblHeader w:val="true"/>
          <w:cantSplit/>
        </w:trPr>
        <w:tc>
          <w:tcPr>
            <w:tcW w:type="dxa" w:w="1800"/>
            <w:shd w:fill="18364F"/>
            <w:tcMar>
              <w:top w:w="80" w:type="dxa"/>
              <w:start w:w="85" w:type="dxa"/>
              <w:bottom w:w="80" w:type="dxa"/>
              <w:end w:w="85" w:type="dxa"/>
            </w:tcMar>
            <w:vAlign w:val="center"/>
          </w:tcPr>
          <w:p>
            <w:pPr>
              <w:spacing w:after="0"/>
              <w:jc w:val="left"/>
            </w:pPr>
            <w:r>
              <w:rPr>
                <w:b/>
                <w:color w:val="FFFFFF"/>
                <w:sz w:val="14"/>
              </w:rPr>
              <w:t>Stage</w:t>
            </w:r>
          </w:p>
        </w:tc>
        <w:tc>
          <w:tcPr>
            <w:tcW w:type="dxa" w:w="2880"/>
            <w:shd w:fill="18364F"/>
            <w:tcMar>
              <w:top w:w="80" w:type="dxa"/>
              <w:start w:w="85" w:type="dxa"/>
              <w:bottom w:w="80" w:type="dxa"/>
              <w:end w:w="85" w:type="dxa"/>
            </w:tcMar>
            <w:vAlign w:val="center"/>
          </w:tcPr>
          <w:p>
            <w:pPr>
              <w:spacing w:after="0"/>
              <w:jc w:val="left"/>
            </w:pPr>
            <w:r>
              <w:rPr>
                <w:b/>
                <w:color w:val="FFFFFF"/>
                <w:sz w:val="14"/>
              </w:rPr>
              <w:t>Default position</w:t>
            </w:r>
          </w:p>
        </w:tc>
        <w:tc>
          <w:tcPr>
            <w:tcW w:type="dxa" w:w="3096"/>
            <w:shd w:fill="18364F"/>
            <w:tcMar>
              <w:top w:w="80" w:type="dxa"/>
              <w:start w:w="85" w:type="dxa"/>
              <w:bottom w:w="80" w:type="dxa"/>
              <w:end w:w="85" w:type="dxa"/>
            </w:tcMar>
            <w:vAlign w:val="center"/>
          </w:tcPr>
          <w:p>
            <w:pPr>
              <w:spacing w:after="0"/>
              <w:jc w:val="left"/>
            </w:pPr>
            <w:r>
              <w:rPr>
                <w:b/>
                <w:color w:val="FFFFFF"/>
                <w:sz w:val="14"/>
              </w:rPr>
              <w:t>Suitable uses</w:t>
            </w:r>
          </w:p>
        </w:tc>
        <w:tc>
          <w:tcPr>
            <w:tcW w:type="dxa" w:w="2880"/>
            <w:shd w:fill="18364F"/>
            <w:tcMar>
              <w:top w:w="80" w:type="dxa"/>
              <w:start w:w="85" w:type="dxa"/>
              <w:bottom w:w="80" w:type="dxa"/>
              <w:end w:w="85" w:type="dxa"/>
            </w:tcMar>
            <w:vAlign w:val="center"/>
          </w:tcPr>
          <w:p>
            <w:pPr>
              <w:spacing w:after="0"/>
              <w:jc w:val="left"/>
            </w:pPr>
            <w:r>
              <w:rPr>
                <w:b/>
                <w:color w:val="FFFFFF"/>
                <w:sz w:val="14"/>
              </w:rPr>
              <w:t>Protected capabilities</w:t>
            </w:r>
          </w:p>
        </w:tc>
      </w:tr>
      <w:tr>
        <w:trPr>
          <w:cantSplit/>
        </w:trPr>
        <w:tc>
          <w:tcPr>
            <w:tcW w:type="dxa" w:w="1800"/>
            <w:tcMar>
              <w:top w:w="80" w:type="dxa"/>
              <w:start w:w="85" w:type="dxa"/>
              <w:bottom w:w="80" w:type="dxa"/>
              <w:end w:w="85" w:type="dxa"/>
            </w:tcMar>
            <w:vAlign w:val="center"/>
          </w:tcPr>
          <w:p>
            <w:pPr>
              <w:spacing w:after="0" w:line="250" w:lineRule="auto"/>
              <w:jc w:val="left"/>
            </w:pPr>
            <w:r>
              <w:rPr>
                <w:color w:val="262B30"/>
                <w:sz w:val="14"/>
              </w:rPr>
              <w:t>Elementary school</w:t>
            </w:r>
          </w:p>
        </w:tc>
        <w:tc>
          <w:tcPr>
            <w:tcW w:type="dxa" w:w="2880"/>
            <w:tcMar>
              <w:top w:w="80" w:type="dxa"/>
              <w:start w:w="85" w:type="dxa"/>
              <w:bottom w:w="80" w:type="dxa"/>
              <w:end w:w="85" w:type="dxa"/>
            </w:tcMar>
            <w:vAlign w:val="center"/>
          </w:tcPr>
          <w:p>
            <w:pPr>
              <w:spacing w:after="0" w:line="250" w:lineRule="auto"/>
              <w:jc w:val="left"/>
            </w:pPr>
            <w:r>
              <w:rPr>
                <w:color w:val="262B30"/>
                <w:sz w:val="14"/>
              </w:rPr>
              <w:t>Student-facing generative AI is exceptional and supervised. Teacher-facing preparation may be used under school rules.</w:t>
            </w:r>
          </w:p>
        </w:tc>
        <w:tc>
          <w:tcPr>
            <w:tcW w:type="dxa" w:w="3096"/>
            <w:tcMar>
              <w:top w:w="80" w:type="dxa"/>
              <w:start w:w="85" w:type="dxa"/>
              <w:bottom w:w="80" w:type="dxa"/>
              <w:end w:w="85" w:type="dxa"/>
            </w:tcMar>
            <w:vAlign w:val="center"/>
          </w:tcPr>
          <w:p>
            <w:pPr>
              <w:spacing w:after="0" w:line="250" w:lineRule="auto"/>
              <w:jc w:val="left"/>
            </w:pPr>
            <w:r>
              <w:rPr>
                <w:color w:val="262B30"/>
                <w:sz w:val="14"/>
              </w:rPr>
              <w:t>Short teacher-led demonstrations; accessibility; parent-supported guided tutor for a defined need.</w:t>
            </w:r>
          </w:p>
        </w:tc>
        <w:tc>
          <w:tcPr>
            <w:tcW w:type="dxa" w:w="2880"/>
            <w:tcMar>
              <w:top w:w="80" w:type="dxa"/>
              <w:start w:w="85" w:type="dxa"/>
              <w:bottom w:w="80" w:type="dxa"/>
              <w:end w:w="85" w:type="dxa"/>
            </w:tcMar>
            <w:vAlign w:val="center"/>
          </w:tcPr>
          <w:p>
            <w:pPr>
              <w:spacing w:after="0" w:line="250" w:lineRule="auto"/>
              <w:jc w:val="left"/>
            </w:pPr>
            <w:r>
              <w:rPr>
                <w:color w:val="262B30"/>
                <w:sz w:val="14"/>
              </w:rPr>
              <w:t>Conversation, reading, handwriting, memory, number sense, observation, play, drawing, and direct experience.</w:t>
            </w:r>
          </w:p>
        </w:tc>
      </w:tr>
      <w:tr>
        <w:trPr>
          <w:cantSplit/>
        </w:trPr>
        <w:tc>
          <w:tcPr>
            <w:tcW w:type="dxa" w:w="1800"/>
            <w:tcMar>
              <w:top w:w="80" w:type="dxa"/>
              <w:start w:w="85" w:type="dxa"/>
              <w:bottom w:w="80" w:type="dxa"/>
              <w:end w:w="85" w:type="dxa"/>
            </w:tcMar>
            <w:vAlign w:val="center"/>
            <w:shd w:fill="F3F5F7"/>
          </w:tcPr>
          <w:p>
            <w:pPr>
              <w:spacing w:after="0" w:line="250" w:lineRule="auto"/>
              <w:jc w:val="left"/>
            </w:pPr>
            <w:r>
              <w:rPr>
                <w:color w:val="262B30"/>
                <w:sz w:val="14"/>
              </w:rPr>
              <w:t>Middle school</w:t>
            </w:r>
          </w:p>
        </w:tc>
        <w:tc>
          <w:tcPr>
            <w:tcW w:type="dxa" w:w="2880"/>
            <w:tcMar>
              <w:top w:w="80" w:type="dxa"/>
              <w:start w:w="85" w:type="dxa"/>
              <w:bottom w:w="80" w:type="dxa"/>
              <w:end w:w="85" w:type="dxa"/>
            </w:tcMar>
            <w:vAlign w:val="center"/>
            <w:shd w:fill="F3F5F7"/>
          </w:tcPr>
          <w:p>
            <w:pPr>
              <w:spacing w:after="0" w:line="250" w:lineRule="auto"/>
              <w:jc w:val="left"/>
            </w:pPr>
            <w:r>
              <w:rPr>
                <w:color w:val="262B30"/>
                <w:sz w:val="14"/>
              </w:rPr>
              <w:t>Use bounded tools for short, explicit tasks. Prefer school or parent accounts with visible history.</w:t>
            </w:r>
          </w:p>
        </w:tc>
        <w:tc>
          <w:tcPr>
            <w:tcW w:type="dxa" w:w="3096"/>
            <w:tcMar>
              <w:top w:w="80" w:type="dxa"/>
              <w:start w:w="85" w:type="dxa"/>
              <w:bottom w:w="80" w:type="dxa"/>
              <w:end w:w="85" w:type="dxa"/>
            </w:tcMar>
            <w:vAlign w:val="center"/>
            <w:shd w:fill="F3F5F7"/>
          </w:tcPr>
          <w:p>
            <w:pPr>
              <w:spacing w:after="0" w:line="250" w:lineRule="auto"/>
              <w:jc w:val="left"/>
            </w:pPr>
            <w:r>
              <w:rPr>
                <w:color w:val="262B30"/>
                <w:sz w:val="14"/>
              </w:rPr>
              <w:t>Source notebooks, guided questions, vocabulary, practice feedback, comparison of explanations.</w:t>
            </w:r>
          </w:p>
        </w:tc>
        <w:tc>
          <w:tcPr>
            <w:tcW w:type="dxa" w:w="2880"/>
            <w:tcMar>
              <w:top w:w="80" w:type="dxa"/>
              <w:start w:w="85" w:type="dxa"/>
              <w:bottom w:w="80" w:type="dxa"/>
              <w:end w:w="85" w:type="dxa"/>
            </w:tcMar>
            <w:vAlign w:val="center"/>
            <w:shd w:fill="F3F5F7"/>
          </w:tcPr>
          <w:p>
            <w:pPr>
              <w:spacing w:after="0" w:line="250" w:lineRule="auto"/>
              <w:jc w:val="left"/>
            </w:pPr>
            <w:r>
              <w:rPr>
                <w:color w:val="262B30"/>
                <w:sz w:val="14"/>
              </w:rPr>
              <w:t>Close reading, arithmetic and algebra fluency, paragraph writing, factual foundations, discussion, and self-control.</w:t>
            </w:r>
          </w:p>
        </w:tc>
      </w:tr>
      <w:tr>
        <w:trPr>
          <w:cantSplit/>
        </w:trPr>
        <w:tc>
          <w:tcPr>
            <w:tcW w:type="dxa" w:w="1800"/>
            <w:tcMar>
              <w:top w:w="80" w:type="dxa"/>
              <w:start w:w="85" w:type="dxa"/>
              <w:bottom w:w="80" w:type="dxa"/>
              <w:end w:w="85" w:type="dxa"/>
            </w:tcMar>
            <w:vAlign w:val="center"/>
          </w:tcPr>
          <w:p>
            <w:pPr>
              <w:spacing w:after="0" w:line="250" w:lineRule="auto"/>
              <w:jc w:val="left"/>
            </w:pPr>
            <w:r>
              <w:rPr>
                <w:color w:val="262B30"/>
                <w:sz w:val="14"/>
              </w:rPr>
              <w:t>High school</w:t>
            </w:r>
          </w:p>
        </w:tc>
        <w:tc>
          <w:tcPr>
            <w:tcW w:type="dxa" w:w="2880"/>
            <w:tcMar>
              <w:top w:w="80" w:type="dxa"/>
              <w:start w:w="85" w:type="dxa"/>
              <w:bottom w:w="80" w:type="dxa"/>
              <w:end w:w="85" w:type="dxa"/>
            </w:tcMar>
            <w:vAlign w:val="center"/>
          </w:tcPr>
          <w:p>
            <w:pPr>
              <w:spacing w:after="0" w:line="250" w:lineRule="auto"/>
              <w:jc w:val="left"/>
            </w:pPr>
            <w:r>
              <w:rPr>
                <w:color w:val="262B30"/>
                <w:sz w:val="14"/>
              </w:rPr>
              <w:t>Allow conditional use after an independent attempt and with process evidence.</w:t>
            </w:r>
          </w:p>
        </w:tc>
        <w:tc>
          <w:tcPr>
            <w:tcW w:type="dxa" w:w="3096"/>
            <w:tcMar>
              <w:top w:w="80" w:type="dxa"/>
              <w:start w:w="85" w:type="dxa"/>
              <w:bottom w:w="80" w:type="dxa"/>
              <w:end w:w="85" w:type="dxa"/>
            </w:tcMar>
            <w:vAlign w:val="center"/>
          </w:tcPr>
          <w:p>
            <w:pPr>
              <w:spacing w:after="0" w:line="250" w:lineRule="auto"/>
              <w:jc w:val="left"/>
            </w:pPr>
            <w:r>
              <w:rPr>
                <w:color w:val="262B30"/>
                <w:sz w:val="14"/>
              </w:rPr>
              <w:t>Tutoring, source discovery, counterargument, coding feedback, revision, simulation.</w:t>
            </w:r>
          </w:p>
        </w:tc>
        <w:tc>
          <w:tcPr>
            <w:tcW w:type="dxa" w:w="2880"/>
            <w:tcMar>
              <w:top w:w="80" w:type="dxa"/>
              <w:start w:w="85" w:type="dxa"/>
              <w:bottom w:w="80" w:type="dxa"/>
              <w:end w:w="85" w:type="dxa"/>
            </w:tcMar>
            <w:vAlign w:val="center"/>
          </w:tcPr>
          <w:p>
            <w:pPr>
              <w:spacing w:after="0" w:line="250" w:lineRule="auto"/>
              <w:jc w:val="left"/>
            </w:pPr>
            <w:r>
              <w:rPr>
                <w:color w:val="262B30"/>
                <w:sz w:val="14"/>
              </w:rPr>
              <w:t>Thesis and argument, original drafting, mathematical reasoning, laboratory work, oral defense, and disciplinary fundamentals.</w:t>
            </w:r>
          </w:p>
        </w:tc>
      </w:tr>
      <w:tr>
        <w:trPr>
          <w:cantSplit/>
        </w:trPr>
        <w:tc>
          <w:tcPr>
            <w:tcW w:type="dxa" w:w="1800"/>
            <w:tcMar>
              <w:top w:w="80" w:type="dxa"/>
              <w:start w:w="85" w:type="dxa"/>
              <w:bottom w:w="80" w:type="dxa"/>
              <w:end w:w="85" w:type="dxa"/>
            </w:tcMar>
            <w:vAlign w:val="center"/>
            <w:shd w:fill="F3F5F7"/>
          </w:tcPr>
          <w:p>
            <w:pPr>
              <w:spacing w:after="0" w:line="250" w:lineRule="auto"/>
              <w:jc w:val="left"/>
            </w:pPr>
            <w:r>
              <w:rPr>
                <w:color w:val="262B30"/>
                <w:sz w:val="14"/>
              </w:rPr>
              <w:t>College and university</w:t>
            </w:r>
          </w:p>
        </w:tc>
        <w:tc>
          <w:tcPr>
            <w:tcW w:type="dxa" w:w="2880"/>
            <w:tcMar>
              <w:top w:w="80" w:type="dxa"/>
              <w:start w:w="85" w:type="dxa"/>
              <w:bottom w:w="80" w:type="dxa"/>
              <w:end w:w="85" w:type="dxa"/>
            </w:tcMar>
            <w:vAlign w:val="center"/>
            <w:shd w:fill="F3F5F7"/>
          </w:tcPr>
          <w:p>
            <w:pPr>
              <w:spacing w:after="0" w:line="250" w:lineRule="auto"/>
              <w:jc w:val="left"/>
            </w:pPr>
            <w:r>
              <w:rPr>
                <w:color w:val="262B30"/>
                <w:sz w:val="14"/>
              </w:rPr>
              <w:t>Permit broad accountable use by course purpose while protecting mastery and professional obligations.</w:t>
            </w:r>
          </w:p>
        </w:tc>
        <w:tc>
          <w:tcPr>
            <w:tcW w:type="dxa" w:w="3096"/>
            <w:tcMar>
              <w:top w:w="80" w:type="dxa"/>
              <w:start w:w="85" w:type="dxa"/>
              <w:bottom w:w="80" w:type="dxa"/>
              <w:end w:w="85" w:type="dxa"/>
            </w:tcMar>
            <w:vAlign w:val="center"/>
            <w:shd w:fill="F3F5F7"/>
          </w:tcPr>
          <w:p>
            <w:pPr>
              <w:spacing w:after="0" w:line="250" w:lineRule="auto"/>
              <w:jc w:val="left"/>
            </w:pPr>
            <w:r>
              <w:rPr>
                <w:color w:val="262B30"/>
                <w:sz w:val="14"/>
              </w:rPr>
              <w:t>Advanced research discovery, modeling, coding, critique, translation, accessibility, and professional workflow.</w:t>
            </w:r>
          </w:p>
        </w:tc>
        <w:tc>
          <w:tcPr>
            <w:tcW w:type="dxa" w:w="2880"/>
            <w:tcMar>
              <w:top w:w="80" w:type="dxa"/>
              <w:start w:w="85" w:type="dxa"/>
              <w:bottom w:w="80" w:type="dxa"/>
              <w:end w:w="85" w:type="dxa"/>
            </w:tcMar>
            <w:vAlign w:val="center"/>
            <w:shd w:fill="F3F5F7"/>
          </w:tcPr>
          <w:p>
            <w:pPr>
              <w:spacing w:after="0" w:line="250" w:lineRule="auto"/>
              <w:jc w:val="left"/>
            </w:pPr>
            <w:r>
              <w:rPr>
                <w:color w:val="262B30"/>
                <w:sz w:val="14"/>
              </w:rPr>
              <w:t>Independent disciplinary judgment, confidential work, high-stakes assessment, research integrity, and live performance.</w:t>
            </w:r>
          </w:p>
        </w:tc>
      </w:tr>
      <w:tr>
        <w:trPr>
          <w:cantSplit/>
        </w:trPr>
        <w:tc>
          <w:tcPr>
            <w:tcW w:type="dxa" w:w="1800"/>
            <w:tcMar>
              <w:top w:w="80" w:type="dxa"/>
              <w:start w:w="85" w:type="dxa"/>
              <w:bottom w:w="80" w:type="dxa"/>
              <w:end w:w="85" w:type="dxa"/>
            </w:tcMar>
            <w:vAlign w:val="center"/>
          </w:tcPr>
          <w:p>
            <w:pPr>
              <w:spacing w:after="0" w:line="250" w:lineRule="auto"/>
              <w:jc w:val="left"/>
            </w:pPr>
            <w:r>
              <w:rPr>
                <w:color w:val="262B30"/>
                <w:sz w:val="14"/>
              </w:rPr>
              <w:t>Adult learning</w:t>
            </w:r>
          </w:p>
        </w:tc>
        <w:tc>
          <w:tcPr>
            <w:tcW w:type="dxa" w:w="2880"/>
            <w:tcMar>
              <w:top w:w="80" w:type="dxa"/>
              <w:start w:w="85" w:type="dxa"/>
              <w:bottom w:w="80" w:type="dxa"/>
              <w:end w:w="85" w:type="dxa"/>
            </w:tcMar>
            <w:vAlign w:val="center"/>
          </w:tcPr>
          <w:p>
            <w:pPr>
              <w:spacing w:after="0" w:line="250" w:lineRule="auto"/>
              <w:jc w:val="left"/>
            </w:pPr>
            <w:r>
              <w:rPr>
                <w:color w:val="262B30"/>
                <w:sz w:val="14"/>
              </w:rPr>
              <w:t>Match freedom to consequence and preserve verification.</w:t>
            </w:r>
          </w:p>
        </w:tc>
        <w:tc>
          <w:tcPr>
            <w:tcW w:type="dxa" w:w="3096"/>
            <w:tcMar>
              <w:top w:w="80" w:type="dxa"/>
              <w:start w:w="85" w:type="dxa"/>
              <w:bottom w:w="80" w:type="dxa"/>
              <w:end w:w="85" w:type="dxa"/>
            </w:tcMar>
            <w:vAlign w:val="center"/>
          </w:tcPr>
          <w:p>
            <w:pPr>
              <w:spacing w:after="0" w:line="250" w:lineRule="auto"/>
              <w:jc w:val="left"/>
            </w:pPr>
            <w:r>
              <w:rPr>
                <w:color w:val="262B30"/>
                <w:sz w:val="14"/>
              </w:rPr>
              <w:t>Tutoring, skill refresh, planning, research, career practice, and creative exploration.</w:t>
            </w:r>
          </w:p>
        </w:tc>
        <w:tc>
          <w:tcPr>
            <w:tcW w:type="dxa" w:w="2880"/>
            <w:tcMar>
              <w:top w:w="80" w:type="dxa"/>
              <w:start w:w="85" w:type="dxa"/>
              <w:bottom w:w="80" w:type="dxa"/>
              <w:end w:w="85" w:type="dxa"/>
            </w:tcMar>
            <w:vAlign w:val="center"/>
          </w:tcPr>
          <w:p>
            <w:pPr>
              <w:spacing w:after="0" w:line="250" w:lineRule="auto"/>
              <w:jc w:val="left"/>
            </w:pPr>
            <w:r>
              <w:rPr>
                <w:color w:val="262B30"/>
                <w:sz w:val="14"/>
              </w:rPr>
              <w:t>Decisions affecting health, law, finance, safety, employment, or other people.</w:t>
            </w:r>
          </w:p>
        </w:tc>
      </w:tr>
    </w:tbl>
    <w:p>
      <w:pPr>
        <w:spacing w:after="0"/>
      </w:pPr>
    </w:p>
    <w:p>
      <w:pPr>
        <w:pStyle w:val="Heading2"/>
      </w:pPr>
      <w:r>
        <w:t>Homeschool and family application</w:t>
      </w:r>
    </w:p>
    <w:p>
      <w:r>
        <w:t>Families can apply the same progression used in a classical curriculum. Students first acquire material, then analyze it, then express and defend a judgment. AI enters only after the relevant human faculty has received real practice. Parents should see the interaction history, state the permitted role, and ask the child to explain the work away from the screen.</w:t>
      </w:r>
    </w:p>
    <w:p>
      <w:pPr>
        <w:pStyle w:val="Heading2"/>
      </w:pPr>
      <w:r>
        <w:t>Post COVID consideration</w:t>
      </w:r>
    </w:p>
    <w:p>
      <w:r>
        <w:t>Students who experienced disrupted instruction, family instability, isolation, weak friendships, or declining wellness may need more human structure before more digital independence. AI can offer low-friction help, but it can also make avoidance easier. Schools should distinguish remediation from dependence and pair tool access with relationships, routines, physical presence, and measurable recovery.</w:t>
      </w:r>
    </w:p>
    <w:p>
      <w:r>
        <w:br w:type="page"/>
      </w:r>
    </w:p>
    <w:p>
      <w:pPr>
        <w:pStyle w:val="Heading1"/>
      </w:pPr>
      <w:r>
        <w:t>10  Assignment rules and verification</w:t>
      </w:r>
    </w:p>
    <w:p>
      <w:r>
        <w:t>Every AI-permitted assignment should contain a short tool contract. The contract makes the educational purpose visible and gives students a stable standard across products.</w:t>
      </w:r>
    </w:p>
    <w:tbl>
      <w:tblPr>
        <w:tblW w:type="auto" w:w="0"/>
        <w:jc w:val="center"/>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5112"/>
        <w:gridCol w:w="5112"/>
      </w:tblGrid>
      <w:tr>
        <w:trPr>
          <w:tblHeader w:val="true"/>
          <w:cantSplit/>
        </w:trPr>
        <w:tc>
          <w:tcPr>
            <w:tcW w:type="dxa" w:w="2376"/>
            <w:shd w:fill="18364F"/>
            <w:tcMar>
              <w:top w:w="80" w:type="dxa"/>
              <w:start w:w="85" w:type="dxa"/>
              <w:bottom w:w="80" w:type="dxa"/>
              <w:end w:w="85" w:type="dxa"/>
            </w:tcMar>
            <w:vAlign w:val="center"/>
          </w:tcPr>
          <w:p>
            <w:pPr>
              <w:spacing w:after="0"/>
              <w:jc w:val="left"/>
            </w:pPr>
            <w:r>
              <w:rPr>
                <w:b/>
                <w:color w:val="FFFFFF"/>
                <w:sz w:val="16"/>
              </w:rPr>
              <w:t>Required field</w:t>
            </w:r>
          </w:p>
        </w:tc>
        <w:tc>
          <w:tcPr>
            <w:tcW w:type="dxa" w:w="8208"/>
            <w:shd w:fill="18364F"/>
            <w:tcMar>
              <w:top w:w="80" w:type="dxa"/>
              <w:start w:w="85" w:type="dxa"/>
              <w:bottom w:w="80" w:type="dxa"/>
              <w:end w:w="85" w:type="dxa"/>
            </w:tcMar>
            <w:vAlign w:val="center"/>
          </w:tcPr>
          <w:p>
            <w:pPr>
              <w:spacing w:after="0"/>
              <w:jc w:val="left"/>
            </w:pPr>
            <w:r>
              <w:rPr>
                <w:b/>
                <w:color w:val="FFFFFF"/>
                <w:sz w:val="16"/>
              </w:rPr>
              <w:t>Example</w:t>
            </w:r>
          </w:p>
        </w:tc>
      </w:tr>
      <w:tr>
        <w:trPr>
          <w:cantSplit/>
        </w:trPr>
        <w:tc>
          <w:tcPr>
            <w:tcW w:type="dxa" w:w="2376"/>
            <w:tcMar>
              <w:top w:w="80" w:type="dxa"/>
              <w:start w:w="85" w:type="dxa"/>
              <w:bottom w:w="80" w:type="dxa"/>
              <w:end w:w="85" w:type="dxa"/>
            </w:tcMar>
            <w:vAlign w:val="center"/>
          </w:tcPr>
          <w:p>
            <w:pPr>
              <w:spacing w:after="0" w:line="250" w:lineRule="auto"/>
              <w:jc w:val="left"/>
            </w:pPr>
            <w:r>
              <w:rPr>
                <w:color w:val="262B30"/>
                <w:sz w:val="16"/>
              </w:rPr>
              <w:t>Capability</w:t>
            </w:r>
          </w:p>
        </w:tc>
        <w:tc>
          <w:tcPr>
            <w:tcW w:type="dxa" w:w="8208"/>
            <w:tcMar>
              <w:top w:w="80" w:type="dxa"/>
              <w:start w:w="85" w:type="dxa"/>
              <w:bottom w:w="80" w:type="dxa"/>
              <w:end w:w="85" w:type="dxa"/>
            </w:tcMar>
            <w:vAlign w:val="center"/>
          </w:tcPr>
          <w:p>
            <w:pPr>
              <w:spacing w:after="0" w:line="250" w:lineRule="auto"/>
              <w:jc w:val="left"/>
            </w:pPr>
            <w:r>
              <w:rPr>
                <w:color w:val="262B30"/>
                <w:sz w:val="16"/>
              </w:rPr>
              <w:t>Develop a defensible interpretation of two primary sources.</w:t>
            </w:r>
          </w:p>
        </w:tc>
      </w:tr>
      <w:tr>
        <w:trPr>
          <w:cantSplit/>
        </w:trPr>
        <w:tc>
          <w:tcPr>
            <w:tcW w:type="dxa" w:w="2376"/>
            <w:tcMar>
              <w:top w:w="80" w:type="dxa"/>
              <w:start w:w="85" w:type="dxa"/>
              <w:bottom w:w="80" w:type="dxa"/>
              <w:end w:w="85" w:type="dxa"/>
            </w:tcMar>
            <w:vAlign w:val="center"/>
            <w:shd w:fill="F3F5F7"/>
          </w:tcPr>
          <w:p>
            <w:pPr>
              <w:spacing w:after="0" w:line="250" w:lineRule="auto"/>
              <w:jc w:val="left"/>
            </w:pPr>
            <w:r>
              <w:rPr>
                <w:color w:val="262B30"/>
                <w:sz w:val="16"/>
              </w:rPr>
              <w:t>Independent first step</w:t>
            </w:r>
          </w:p>
        </w:tc>
        <w:tc>
          <w:tcPr>
            <w:tcW w:type="dxa" w:w="8208"/>
            <w:tcMar>
              <w:top w:w="80" w:type="dxa"/>
              <w:start w:w="85" w:type="dxa"/>
              <w:bottom w:w="80" w:type="dxa"/>
              <w:end w:w="85" w:type="dxa"/>
            </w:tcMar>
            <w:vAlign w:val="center"/>
            <w:shd w:fill="F3F5F7"/>
          </w:tcPr>
          <w:p>
            <w:pPr>
              <w:spacing w:after="0" w:line="250" w:lineRule="auto"/>
              <w:jc w:val="left"/>
            </w:pPr>
            <w:r>
              <w:rPr>
                <w:color w:val="262B30"/>
                <w:sz w:val="16"/>
              </w:rPr>
              <w:t>Read and annotate both sources; write a one-paragraph provisional claim before using AI.</w:t>
            </w:r>
          </w:p>
        </w:tc>
      </w:tr>
      <w:tr>
        <w:trPr>
          <w:cantSplit/>
        </w:trPr>
        <w:tc>
          <w:tcPr>
            <w:tcW w:type="dxa" w:w="2376"/>
            <w:tcMar>
              <w:top w:w="80" w:type="dxa"/>
              <w:start w:w="85" w:type="dxa"/>
              <w:bottom w:w="80" w:type="dxa"/>
              <w:end w:w="85" w:type="dxa"/>
            </w:tcMar>
            <w:vAlign w:val="center"/>
          </w:tcPr>
          <w:p>
            <w:pPr>
              <w:spacing w:after="0" w:line="250" w:lineRule="auto"/>
              <w:jc w:val="left"/>
            </w:pPr>
            <w:r>
              <w:rPr>
                <w:color w:val="262B30"/>
                <w:sz w:val="16"/>
              </w:rPr>
              <w:t>Permitted AI role</w:t>
            </w:r>
          </w:p>
        </w:tc>
        <w:tc>
          <w:tcPr>
            <w:tcW w:type="dxa" w:w="8208"/>
            <w:tcMar>
              <w:top w:w="80" w:type="dxa"/>
              <w:start w:w="85" w:type="dxa"/>
              <w:bottom w:w="80" w:type="dxa"/>
              <w:end w:w="85" w:type="dxa"/>
            </w:tcMar>
            <w:vAlign w:val="center"/>
          </w:tcPr>
          <w:p>
            <w:pPr>
              <w:spacing w:after="0" w:line="250" w:lineRule="auto"/>
              <w:jc w:val="left"/>
            </w:pPr>
            <w:r>
              <w:rPr>
                <w:color w:val="262B30"/>
                <w:sz w:val="16"/>
              </w:rPr>
              <w:t>Generate three counterarguments and ask questions about missing evidence.</w:t>
            </w:r>
          </w:p>
        </w:tc>
      </w:tr>
      <w:tr>
        <w:trPr>
          <w:cantSplit/>
        </w:trPr>
        <w:tc>
          <w:tcPr>
            <w:tcW w:type="dxa" w:w="2376"/>
            <w:tcMar>
              <w:top w:w="80" w:type="dxa"/>
              <w:start w:w="85" w:type="dxa"/>
              <w:bottom w:w="80" w:type="dxa"/>
              <w:end w:w="85" w:type="dxa"/>
            </w:tcMar>
            <w:vAlign w:val="center"/>
            <w:shd w:fill="F3F5F7"/>
          </w:tcPr>
          <w:p>
            <w:pPr>
              <w:spacing w:after="0" w:line="250" w:lineRule="auto"/>
              <w:jc w:val="left"/>
            </w:pPr>
            <w:r>
              <w:rPr>
                <w:color w:val="262B30"/>
                <w:sz w:val="16"/>
              </w:rPr>
              <w:t>Prohibited AI role</w:t>
            </w:r>
          </w:p>
        </w:tc>
        <w:tc>
          <w:tcPr>
            <w:tcW w:type="dxa" w:w="8208"/>
            <w:tcMar>
              <w:top w:w="80" w:type="dxa"/>
              <w:start w:w="85" w:type="dxa"/>
              <w:bottom w:w="80" w:type="dxa"/>
              <w:end w:w="85" w:type="dxa"/>
            </w:tcMar>
            <w:vAlign w:val="center"/>
            <w:shd w:fill="F3F5F7"/>
          </w:tcPr>
          <w:p>
            <w:pPr>
              <w:spacing w:after="0" w:line="250" w:lineRule="auto"/>
              <w:jc w:val="left"/>
            </w:pPr>
            <w:r>
              <w:rPr>
                <w:color w:val="262B30"/>
                <w:sz w:val="16"/>
              </w:rPr>
              <w:t>Do not generate the thesis, quotations, analysis, or submitted prose.</w:t>
            </w:r>
          </w:p>
        </w:tc>
      </w:tr>
      <w:tr>
        <w:trPr>
          <w:cantSplit/>
        </w:trPr>
        <w:tc>
          <w:tcPr>
            <w:tcW w:type="dxa" w:w="2376"/>
            <w:tcMar>
              <w:top w:w="80" w:type="dxa"/>
              <w:start w:w="85" w:type="dxa"/>
              <w:bottom w:w="80" w:type="dxa"/>
              <w:end w:w="85" w:type="dxa"/>
            </w:tcMar>
            <w:vAlign w:val="center"/>
          </w:tcPr>
          <w:p>
            <w:pPr>
              <w:spacing w:after="0" w:line="250" w:lineRule="auto"/>
              <w:jc w:val="left"/>
            </w:pPr>
            <w:r>
              <w:rPr>
                <w:color w:val="262B30"/>
                <w:sz w:val="16"/>
              </w:rPr>
              <w:t>Process evidence</w:t>
            </w:r>
          </w:p>
        </w:tc>
        <w:tc>
          <w:tcPr>
            <w:tcW w:type="dxa" w:w="8208"/>
            <w:tcMar>
              <w:top w:w="80" w:type="dxa"/>
              <w:start w:w="85" w:type="dxa"/>
              <w:bottom w:w="80" w:type="dxa"/>
              <w:end w:w="85" w:type="dxa"/>
            </w:tcMar>
            <w:vAlign w:val="center"/>
          </w:tcPr>
          <w:p>
            <w:pPr>
              <w:spacing w:after="0" w:line="250" w:lineRule="auto"/>
              <w:jc w:val="left"/>
            </w:pPr>
            <w:r>
              <w:rPr>
                <w:color w:val="262B30"/>
                <w:sz w:val="16"/>
              </w:rPr>
              <w:t>Submit initial claim, relevant exchange excerpts, verification notes, and final revisions.</w:t>
            </w:r>
          </w:p>
        </w:tc>
      </w:tr>
      <w:tr>
        <w:trPr>
          <w:cantSplit/>
        </w:trPr>
        <w:tc>
          <w:tcPr>
            <w:tcW w:type="dxa" w:w="2376"/>
            <w:tcMar>
              <w:top w:w="80" w:type="dxa"/>
              <w:start w:w="85" w:type="dxa"/>
              <w:bottom w:w="80" w:type="dxa"/>
              <w:end w:w="85" w:type="dxa"/>
            </w:tcMar>
            <w:vAlign w:val="center"/>
            <w:shd w:fill="F3F5F7"/>
          </w:tcPr>
          <w:p>
            <w:pPr>
              <w:spacing w:after="0" w:line="250" w:lineRule="auto"/>
              <w:jc w:val="left"/>
            </w:pPr>
            <w:r>
              <w:rPr>
                <w:color w:val="262B30"/>
                <w:sz w:val="16"/>
              </w:rPr>
              <w:t>Truth check</w:t>
            </w:r>
          </w:p>
        </w:tc>
        <w:tc>
          <w:tcPr>
            <w:tcW w:type="dxa" w:w="8208"/>
            <w:tcMar>
              <w:top w:w="80" w:type="dxa"/>
              <w:start w:w="85" w:type="dxa"/>
              <w:bottom w:w="80" w:type="dxa"/>
              <w:end w:w="85" w:type="dxa"/>
            </w:tcMar>
            <w:vAlign w:val="center"/>
            <w:shd w:fill="F3F5F7"/>
          </w:tcPr>
          <w:p>
            <w:pPr>
              <w:spacing w:after="0" w:line="250" w:lineRule="auto"/>
              <w:jc w:val="left"/>
            </w:pPr>
            <w:r>
              <w:rPr>
                <w:color w:val="262B30"/>
                <w:sz w:val="16"/>
              </w:rPr>
              <w:t>Open every cited passage and explain whether it supports the claim.</w:t>
            </w:r>
          </w:p>
        </w:tc>
      </w:tr>
      <w:tr>
        <w:trPr>
          <w:cantSplit/>
        </w:trPr>
        <w:tc>
          <w:tcPr>
            <w:tcW w:type="dxa" w:w="2376"/>
            <w:tcMar>
              <w:top w:w="80" w:type="dxa"/>
              <w:start w:w="85" w:type="dxa"/>
              <w:bottom w:w="80" w:type="dxa"/>
              <w:end w:w="85" w:type="dxa"/>
            </w:tcMar>
            <w:vAlign w:val="center"/>
          </w:tcPr>
          <w:p>
            <w:pPr>
              <w:spacing w:after="0" w:line="250" w:lineRule="auto"/>
              <w:jc w:val="left"/>
            </w:pPr>
            <w:r>
              <w:rPr>
                <w:color w:val="262B30"/>
                <w:sz w:val="16"/>
              </w:rPr>
              <w:t>Independent demonstration</w:t>
            </w:r>
          </w:p>
        </w:tc>
        <w:tc>
          <w:tcPr>
            <w:tcW w:type="dxa" w:w="8208"/>
            <w:tcMar>
              <w:top w:w="80" w:type="dxa"/>
              <w:start w:w="85" w:type="dxa"/>
              <w:bottom w:w="80" w:type="dxa"/>
              <w:end w:w="85" w:type="dxa"/>
            </w:tcMar>
            <w:vAlign w:val="center"/>
          </w:tcPr>
          <w:p>
            <w:pPr>
              <w:spacing w:after="0" w:line="250" w:lineRule="auto"/>
              <w:jc w:val="left"/>
            </w:pPr>
            <w:r>
              <w:rPr>
                <w:color w:val="262B30"/>
                <w:sz w:val="16"/>
              </w:rPr>
              <w:t>Defend the interpretation orally and write a short response without AI.</w:t>
            </w:r>
          </w:p>
        </w:tc>
      </w:tr>
      <w:tr>
        <w:trPr>
          <w:cantSplit/>
        </w:trPr>
        <w:tc>
          <w:tcPr>
            <w:tcW w:type="dxa" w:w="2376"/>
            <w:tcMar>
              <w:top w:w="80" w:type="dxa"/>
              <w:start w:w="85" w:type="dxa"/>
              <w:bottom w:w="80" w:type="dxa"/>
              <w:end w:w="85" w:type="dxa"/>
            </w:tcMar>
            <w:vAlign w:val="center"/>
            <w:shd w:fill="F3F5F7"/>
          </w:tcPr>
          <w:p>
            <w:pPr>
              <w:spacing w:after="0" w:line="250" w:lineRule="auto"/>
              <w:jc w:val="left"/>
            </w:pPr>
            <w:r>
              <w:rPr>
                <w:color w:val="262B30"/>
                <w:sz w:val="16"/>
              </w:rPr>
              <w:t>Privacy boundary</w:t>
            </w:r>
          </w:p>
        </w:tc>
        <w:tc>
          <w:tcPr>
            <w:tcW w:type="dxa" w:w="8208"/>
            <w:tcMar>
              <w:top w:w="80" w:type="dxa"/>
              <w:start w:w="85" w:type="dxa"/>
              <w:bottom w:w="80" w:type="dxa"/>
              <w:end w:w="85" w:type="dxa"/>
            </w:tcMar>
            <w:vAlign w:val="center"/>
            <w:shd w:fill="F3F5F7"/>
          </w:tcPr>
          <w:p>
            <w:pPr>
              <w:spacing w:after="0" w:line="250" w:lineRule="auto"/>
              <w:jc w:val="left"/>
            </w:pPr>
            <w:r>
              <w:rPr>
                <w:color w:val="262B30"/>
                <w:sz w:val="16"/>
              </w:rPr>
              <w:t>Do not upload personal, confidential, copyrighted course, or protected student data.</w:t>
            </w:r>
          </w:p>
        </w:tc>
      </w:tr>
    </w:tbl>
    <w:p>
      <w:pPr>
        <w:spacing w:after="0"/>
      </w:pPr>
    </w:p>
    <w:p>
      <w:pPr>
        <w:pStyle w:val="Heading2"/>
      </w:pPr>
      <w:r>
        <w:t>Verification methods</w:t>
      </w:r>
    </w:p>
    <w:p>
      <w:pPr>
        <w:pStyle w:val="ListBullet"/>
        <w:spacing w:after="48"/>
        <w:ind w:left="331" w:hanging="202"/>
      </w:pPr>
      <w:r>
        <w:t>Oral defense that probes the student’s reasoning and evidence.</w:t>
      </w:r>
    </w:p>
    <w:p>
      <w:pPr>
        <w:pStyle w:val="ListBullet"/>
        <w:spacing w:after="48"/>
        <w:ind w:left="331" w:hanging="202"/>
      </w:pPr>
      <w:r>
        <w:t>Supervised writing or problem-solving on a related but new task.</w:t>
      </w:r>
    </w:p>
    <w:p>
      <w:pPr>
        <w:pStyle w:val="ListBullet"/>
        <w:spacing w:after="48"/>
        <w:ind w:left="331" w:hanging="202"/>
      </w:pPr>
      <w:r>
        <w:t>Process portfolio showing notes, drafts, source checks, and revisions.</w:t>
      </w:r>
    </w:p>
    <w:p>
      <w:pPr>
        <w:pStyle w:val="ListBullet"/>
        <w:spacing w:after="48"/>
        <w:ind w:left="331" w:hanging="202"/>
      </w:pPr>
      <w:r>
        <w:t>Live modification of code, model, design, experiment, or performance.</w:t>
      </w:r>
    </w:p>
    <w:p>
      <w:pPr>
        <w:pStyle w:val="ListBullet"/>
        <w:spacing w:after="48"/>
        <w:ind w:left="331" w:hanging="202"/>
      </w:pPr>
      <w:r>
        <w:t>Delayed quiz or explanation after AI access ends.</w:t>
      </w:r>
    </w:p>
    <w:p>
      <w:pPr>
        <w:pStyle w:val="ListBullet"/>
        <w:spacing w:after="48"/>
        <w:ind w:left="331" w:hanging="202"/>
      </w:pPr>
      <w:r>
        <w:t>Comparison between AI output, primary evidence, and the student’s final judgment.</w:t>
      </w:r>
    </w:p>
    <w:p>
      <w:pPr>
        <w:pStyle w:val="Heading2"/>
      </w:pPr>
      <w:r>
        <w:t>Disclosure standard</w:t>
      </w:r>
    </w:p>
    <w:p>
      <w:r>
        <w:t>Disclosure should identify the tool, the purpose, the material supplied, and the substantive effect on the work. Prompt transcripts may be useful, but volume alone is not evidence of honesty or learning. The student must be able to explain what changed and why.</w:t>
      </w:r>
    </w:p>
    <w:p>
      <w:r>
        <w:br w:type="page"/>
      </w:r>
    </w:p>
    <w:p>
      <w:pPr>
        <w:pStyle w:val="Heading1"/>
      </w:pPr>
      <w:r>
        <w:t>11  Procurement and pilot requirements</w:t>
      </w:r>
    </w:p>
    <w:tbl>
      <w:tblPr>
        <w:tblW w:type="auto" w:w="0"/>
        <w:jc w:val="center"/>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5112"/>
        <w:gridCol w:w="5112"/>
      </w:tblGrid>
      <w:tr>
        <w:trPr>
          <w:tblHeader w:val="true"/>
          <w:cantSplit/>
        </w:trPr>
        <w:tc>
          <w:tcPr>
            <w:tcW w:type="dxa" w:w="2232"/>
            <w:shd w:fill="18364F"/>
            <w:tcMar>
              <w:top w:w="80" w:type="dxa"/>
              <w:start w:w="85" w:type="dxa"/>
              <w:bottom w:w="80" w:type="dxa"/>
              <w:end w:w="85" w:type="dxa"/>
            </w:tcMar>
            <w:vAlign w:val="center"/>
          </w:tcPr>
          <w:p>
            <w:pPr>
              <w:spacing w:after="0"/>
              <w:jc w:val="left"/>
            </w:pPr>
            <w:r>
              <w:rPr>
                <w:b/>
                <w:color w:val="FFFFFF"/>
                <w:sz w:val="16"/>
              </w:rPr>
              <w:t>Gate</w:t>
            </w:r>
          </w:p>
        </w:tc>
        <w:tc>
          <w:tcPr>
            <w:tcW w:type="dxa" w:w="8352"/>
            <w:shd w:fill="18364F"/>
            <w:tcMar>
              <w:top w:w="80" w:type="dxa"/>
              <w:start w:w="85" w:type="dxa"/>
              <w:bottom w:w="80" w:type="dxa"/>
              <w:end w:w="85" w:type="dxa"/>
            </w:tcMar>
            <w:vAlign w:val="center"/>
          </w:tcPr>
          <w:p>
            <w:pPr>
              <w:spacing w:after="0"/>
              <w:jc w:val="left"/>
            </w:pPr>
            <w:r>
              <w:rPr>
                <w:b/>
                <w:color w:val="FFFFFF"/>
                <w:sz w:val="16"/>
              </w:rPr>
              <w:t>Evidence required before adoption</w:t>
            </w:r>
          </w:p>
        </w:tc>
      </w:tr>
      <w:tr>
        <w:trPr>
          <w:cantSplit/>
        </w:trPr>
        <w:tc>
          <w:tcPr>
            <w:tcW w:type="dxa" w:w="2232"/>
            <w:tcMar>
              <w:top w:w="80" w:type="dxa"/>
              <w:start w:w="85" w:type="dxa"/>
              <w:bottom w:w="80" w:type="dxa"/>
              <w:end w:w="85" w:type="dxa"/>
            </w:tcMar>
            <w:vAlign w:val="center"/>
          </w:tcPr>
          <w:p>
            <w:pPr>
              <w:spacing w:after="0" w:line="250" w:lineRule="auto"/>
              <w:jc w:val="left"/>
            </w:pPr>
            <w:r>
              <w:rPr>
                <w:color w:val="262B30"/>
                <w:sz w:val="16"/>
              </w:rPr>
              <w:t>Educational purpose</w:t>
            </w:r>
          </w:p>
        </w:tc>
        <w:tc>
          <w:tcPr>
            <w:tcW w:type="dxa" w:w="8352"/>
            <w:tcMar>
              <w:top w:w="80" w:type="dxa"/>
              <w:start w:w="85" w:type="dxa"/>
              <w:bottom w:w="80" w:type="dxa"/>
              <w:end w:w="85" w:type="dxa"/>
            </w:tcMar>
            <w:vAlign w:val="center"/>
          </w:tcPr>
          <w:p>
            <w:pPr>
              <w:spacing w:after="0" w:line="250" w:lineRule="auto"/>
              <w:jc w:val="left"/>
            </w:pPr>
            <w:r>
              <w:rPr>
                <w:color w:val="262B30"/>
                <w:sz w:val="16"/>
              </w:rPr>
              <w:t>Named student capability; comparison with a non-AI alternative; reason the tool is needed.</w:t>
            </w:r>
          </w:p>
        </w:tc>
      </w:tr>
      <w:tr>
        <w:trPr>
          <w:cantSplit/>
        </w:trPr>
        <w:tc>
          <w:tcPr>
            <w:tcW w:type="dxa" w:w="2232"/>
            <w:tcMar>
              <w:top w:w="80" w:type="dxa"/>
              <w:start w:w="85" w:type="dxa"/>
              <w:bottom w:w="80" w:type="dxa"/>
              <w:end w:w="85" w:type="dxa"/>
            </w:tcMar>
            <w:vAlign w:val="center"/>
            <w:shd w:fill="F3F5F7"/>
          </w:tcPr>
          <w:p>
            <w:pPr>
              <w:spacing w:after="0" w:line="250" w:lineRule="auto"/>
              <w:jc w:val="left"/>
            </w:pPr>
            <w:r>
              <w:rPr>
                <w:color w:val="262B30"/>
                <w:sz w:val="16"/>
              </w:rPr>
              <w:t>Product behavior</w:t>
            </w:r>
          </w:p>
        </w:tc>
        <w:tc>
          <w:tcPr>
            <w:tcW w:type="dxa" w:w="8352"/>
            <w:tcMar>
              <w:top w:w="80" w:type="dxa"/>
              <w:start w:w="85" w:type="dxa"/>
              <w:bottom w:w="80" w:type="dxa"/>
              <w:end w:w="85" w:type="dxa"/>
            </w:tcMar>
            <w:vAlign w:val="center"/>
            <w:shd w:fill="F3F5F7"/>
          </w:tcPr>
          <w:p>
            <w:pPr>
              <w:spacing w:after="0" w:line="250" w:lineRule="auto"/>
              <w:jc w:val="left"/>
            </w:pPr>
            <w:r>
              <w:rPr>
                <w:color w:val="262B30"/>
                <w:sz w:val="16"/>
              </w:rPr>
              <w:t>Demonstration using real course tasks; refusal behavior; source handling; age controls; accessibility.</w:t>
            </w:r>
          </w:p>
        </w:tc>
      </w:tr>
      <w:tr>
        <w:trPr>
          <w:cantSplit/>
        </w:trPr>
        <w:tc>
          <w:tcPr>
            <w:tcW w:type="dxa" w:w="2232"/>
            <w:tcMar>
              <w:top w:w="80" w:type="dxa"/>
              <w:start w:w="85" w:type="dxa"/>
              <w:bottom w:w="80" w:type="dxa"/>
              <w:end w:w="85" w:type="dxa"/>
            </w:tcMar>
            <w:vAlign w:val="center"/>
          </w:tcPr>
          <w:p>
            <w:pPr>
              <w:spacing w:after="0" w:line="250" w:lineRule="auto"/>
              <w:jc w:val="left"/>
            </w:pPr>
            <w:r>
              <w:rPr>
                <w:color w:val="262B30"/>
                <w:sz w:val="16"/>
              </w:rPr>
              <w:t>Privacy and security</w:t>
            </w:r>
          </w:p>
        </w:tc>
        <w:tc>
          <w:tcPr>
            <w:tcW w:type="dxa" w:w="8352"/>
            <w:tcMar>
              <w:top w:w="80" w:type="dxa"/>
              <w:start w:w="85" w:type="dxa"/>
              <w:bottom w:w="80" w:type="dxa"/>
              <w:end w:w="85" w:type="dxa"/>
            </w:tcMar>
            <w:vAlign w:val="center"/>
          </w:tcPr>
          <w:p>
            <w:pPr>
              <w:spacing w:after="0" w:line="250" w:lineRule="auto"/>
              <w:jc w:val="left"/>
            </w:pPr>
            <w:r>
              <w:rPr>
                <w:color w:val="262B30"/>
                <w:sz w:val="16"/>
              </w:rPr>
              <w:t>Contractual data limits; retention; training use; subprocessors; advertising; deletion; breach terms; parent rights.</w:t>
            </w:r>
          </w:p>
        </w:tc>
      </w:tr>
      <w:tr>
        <w:trPr>
          <w:cantSplit/>
        </w:trPr>
        <w:tc>
          <w:tcPr>
            <w:tcW w:type="dxa" w:w="2232"/>
            <w:tcMar>
              <w:top w:w="80" w:type="dxa"/>
              <w:start w:w="85" w:type="dxa"/>
              <w:bottom w:w="80" w:type="dxa"/>
              <w:end w:w="85" w:type="dxa"/>
            </w:tcMar>
            <w:vAlign w:val="center"/>
            <w:shd w:fill="F3F5F7"/>
          </w:tcPr>
          <w:p>
            <w:pPr>
              <w:spacing w:after="0" w:line="250" w:lineRule="auto"/>
              <w:jc w:val="left"/>
            </w:pPr>
            <w:r>
              <w:rPr>
                <w:color w:val="262B30"/>
                <w:sz w:val="16"/>
              </w:rPr>
              <w:t>Adult control</w:t>
            </w:r>
          </w:p>
        </w:tc>
        <w:tc>
          <w:tcPr>
            <w:tcW w:type="dxa" w:w="8352"/>
            <w:tcMar>
              <w:top w:w="80" w:type="dxa"/>
              <w:start w:w="85" w:type="dxa"/>
              <w:bottom w:w="80" w:type="dxa"/>
              <w:end w:w="85" w:type="dxa"/>
            </w:tcMar>
            <w:vAlign w:val="center"/>
            <w:shd w:fill="F3F5F7"/>
          </w:tcPr>
          <w:p>
            <w:pPr>
              <w:spacing w:after="0" w:line="250" w:lineRule="auto"/>
              <w:jc w:val="left"/>
            </w:pPr>
            <w:r>
              <w:rPr>
                <w:color w:val="262B30"/>
                <w:sz w:val="16"/>
              </w:rPr>
              <w:t>Teacher settings, visibility, escalation, override, audit records, and ability to disable features.</w:t>
            </w:r>
          </w:p>
        </w:tc>
      </w:tr>
      <w:tr>
        <w:trPr>
          <w:cantSplit/>
        </w:trPr>
        <w:tc>
          <w:tcPr>
            <w:tcW w:type="dxa" w:w="2232"/>
            <w:tcMar>
              <w:top w:w="80" w:type="dxa"/>
              <w:start w:w="85" w:type="dxa"/>
              <w:bottom w:w="80" w:type="dxa"/>
              <w:end w:w="85" w:type="dxa"/>
            </w:tcMar>
            <w:vAlign w:val="center"/>
          </w:tcPr>
          <w:p>
            <w:pPr>
              <w:spacing w:after="0" w:line="250" w:lineRule="auto"/>
              <w:jc w:val="left"/>
            </w:pPr>
            <w:r>
              <w:rPr>
                <w:color w:val="262B30"/>
                <w:sz w:val="16"/>
              </w:rPr>
              <w:t>Equity</w:t>
            </w:r>
          </w:p>
        </w:tc>
        <w:tc>
          <w:tcPr>
            <w:tcW w:type="dxa" w:w="8352"/>
            <w:tcMar>
              <w:top w:w="80" w:type="dxa"/>
              <w:start w:w="85" w:type="dxa"/>
              <w:bottom w:w="80" w:type="dxa"/>
              <w:end w:w="85" w:type="dxa"/>
            </w:tcMar>
            <w:vAlign w:val="center"/>
          </w:tcPr>
          <w:p>
            <w:pPr>
              <w:spacing w:after="0" w:line="250" w:lineRule="auto"/>
              <w:jc w:val="left"/>
            </w:pPr>
            <w:r>
              <w:rPr>
                <w:color w:val="262B30"/>
                <w:sz w:val="16"/>
              </w:rPr>
              <w:t>Cost, device and language access, disability access, non-AI alternative, and workload effects.</w:t>
            </w:r>
          </w:p>
        </w:tc>
      </w:tr>
      <w:tr>
        <w:trPr>
          <w:cantSplit/>
        </w:trPr>
        <w:tc>
          <w:tcPr>
            <w:tcW w:type="dxa" w:w="2232"/>
            <w:tcMar>
              <w:top w:w="80" w:type="dxa"/>
              <w:start w:w="85" w:type="dxa"/>
              <w:bottom w:w="80" w:type="dxa"/>
              <w:end w:w="85" w:type="dxa"/>
            </w:tcMar>
            <w:vAlign w:val="center"/>
            <w:shd w:fill="F3F5F7"/>
          </w:tcPr>
          <w:p>
            <w:pPr>
              <w:spacing w:after="0" w:line="250" w:lineRule="auto"/>
              <w:jc w:val="left"/>
            </w:pPr>
            <w:r>
              <w:rPr>
                <w:color w:val="262B30"/>
                <w:sz w:val="16"/>
              </w:rPr>
              <w:t>Learning evaluation</w:t>
            </w:r>
          </w:p>
        </w:tc>
        <w:tc>
          <w:tcPr>
            <w:tcW w:type="dxa" w:w="8352"/>
            <w:tcMar>
              <w:top w:w="80" w:type="dxa"/>
              <w:start w:w="85" w:type="dxa"/>
              <w:bottom w:w="80" w:type="dxa"/>
              <w:end w:w="85" w:type="dxa"/>
            </w:tcMar>
            <w:vAlign w:val="center"/>
            <w:shd w:fill="F3F5F7"/>
          </w:tcPr>
          <w:p>
            <w:pPr>
              <w:spacing w:after="0" w:line="250" w:lineRule="auto"/>
              <w:jc w:val="left"/>
            </w:pPr>
            <w:r>
              <w:rPr>
                <w:color w:val="262B30"/>
                <w:sz w:val="16"/>
              </w:rPr>
              <w:t>Unaided pretest and post-test; delayed measure; transfer task; subgroup results; human-support condition.</w:t>
            </w:r>
          </w:p>
        </w:tc>
      </w:tr>
      <w:tr>
        <w:trPr>
          <w:cantSplit/>
        </w:trPr>
        <w:tc>
          <w:tcPr>
            <w:tcW w:type="dxa" w:w="2232"/>
            <w:tcMar>
              <w:top w:w="80" w:type="dxa"/>
              <w:start w:w="85" w:type="dxa"/>
              <w:bottom w:w="80" w:type="dxa"/>
              <w:end w:w="85" w:type="dxa"/>
            </w:tcMar>
            <w:vAlign w:val="center"/>
          </w:tcPr>
          <w:p>
            <w:pPr>
              <w:spacing w:after="0" w:line="250" w:lineRule="auto"/>
              <w:jc w:val="left"/>
            </w:pPr>
            <w:r>
              <w:rPr>
                <w:color w:val="262B30"/>
                <w:sz w:val="16"/>
              </w:rPr>
              <w:t>Wellness evaluation</w:t>
            </w:r>
          </w:p>
        </w:tc>
        <w:tc>
          <w:tcPr>
            <w:tcW w:type="dxa" w:w="8352"/>
            <w:tcMar>
              <w:top w:w="80" w:type="dxa"/>
              <w:start w:w="85" w:type="dxa"/>
              <w:bottom w:w="80" w:type="dxa"/>
              <w:end w:w="85" w:type="dxa"/>
            </w:tcMar>
            <w:vAlign w:val="center"/>
          </w:tcPr>
          <w:p>
            <w:pPr>
              <w:spacing w:after="0" w:line="250" w:lineRule="auto"/>
              <w:jc w:val="left"/>
            </w:pPr>
            <w:r>
              <w:rPr>
                <w:color w:val="262B30"/>
                <w:sz w:val="16"/>
              </w:rPr>
              <w:t>Attention, workload, belonging, confidence, help-seeking, and patterns of dependency or avoidance.</w:t>
            </w:r>
          </w:p>
        </w:tc>
      </w:tr>
      <w:tr>
        <w:trPr>
          <w:cantSplit/>
        </w:trPr>
        <w:tc>
          <w:tcPr>
            <w:tcW w:type="dxa" w:w="2232"/>
            <w:tcMar>
              <w:top w:w="80" w:type="dxa"/>
              <w:start w:w="85" w:type="dxa"/>
              <w:bottom w:w="80" w:type="dxa"/>
              <w:end w:w="85" w:type="dxa"/>
            </w:tcMar>
            <w:vAlign w:val="center"/>
            <w:shd w:fill="F3F5F7"/>
          </w:tcPr>
          <w:p>
            <w:pPr>
              <w:spacing w:after="0" w:line="250" w:lineRule="auto"/>
              <w:jc w:val="left"/>
            </w:pPr>
            <w:r>
              <w:rPr>
                <w:color w:val="262B30"/>
                <w:sz w:val="16"/>
              </w:rPr>
              <w:t>Exit plan</w:t>
            </w:r>
          </w:p>
        </w:tc>
        <w:tc>
          <w:tcPr>
            <w:tcW w:type="dxa" w:w="8352"/>
            <w:tcMar>
              <w:top w:w="80" w:type="dxa"/>
              <w:start w:w="85" w:type="dxa"/>
              <w:bottom w:w="80" w:type="dxa"/>
              <w:end w:w="85" w:type="dxa"/>
            </w:tcMar>
            <w:vAlign w:val="center"/>
            <w:shd w:fill="F3F5F7"/>
          </w:tcPr>
          <w:p>
            <w:pPr>
              <w:spacing w:after="0" w:line="250" w:lineRule="auto"/>
              <w:jc w:val="left"/>
            </w:pPr>
            <w:r>
              <w:rPr>
                <w:color w:val="262B30"/>
                <w:sz w:val="16"/>
              </w:rPr>
              <w:t>Data export and deletion; continuity if pricing or product behavior changes; no lock-in to an unverified method.</w:t>
            </w:r>
          </w:p>
        </w:tc>
      </w:tr>
    </w:tbl>
    <w:p>
      <w:pPr>
        <w:spacing w:after="0"/>
      </w:pPr>
    </w:p>
    <w:p>
      <w:pPr>
        <w:pStyle w:val="Heading2"/>
      </w:pPr>
      <w:r>
        <w:t>Pilot design</w:t>
      </w:r>
    </w:p>
    <w:p>
      <w:pPr>
        <w:pStyle w:val="ListBullet"/>
        <w:spacing w:after="48"/>
        <w:ind w:left="331" w:hanging="202"/>
      </w:pPr>
      <w:r>
        <w:t>Begin with one capability, one age band, and a short period.</w:t>
      </w:r>
    </w:p>
    <w:p>
      <w:pPr>
        <w:pStyle w:val="ListBullet"/>
        <w:spacing w:after="48"/>
        <w:ind w:left="331" w:hanging="202"/>
      </w:pPr>
      <w:r>
        <w:t>Compare AI plus human support, AI alone, and a credible non-AI practice where feasible.</w:t>
      </w:r>
    </w:p>
    <w:p>
      <w:pPr>
        <w:pStyle w:val="ListBullet"/>
        <w:spacing w:after="48"/>
        <w:ind w:left="331" w:hanging="202"/>
      </w:pPr>
      <w:r>
        <w:t>Measure work produced with AI and performance after access is removed.</w:t>
      </w:r>
    </w:p>
    <w:p>
      <w:pPr>
        <w:pStyle w:val="ListBullet"/>
        <w:spacing w:after="48"/>
        <w:ind w:left="331" w:hanging="202"/>
      </w:pPr>
      <w:r>
        <w:t>Review conversation samples for direct answers, fabricated sources, bias, unsafe advice, and unproductive dependence.</w:t>
      </w:r>
    </w:p>
    <w:p>
      <w:pPr>
        <w:pStyle w:val="ListBullet"/>
        <w:spacing w:after="48"/>
        <w:ind w:left="331" w:hanging="202"/>
      </w:pPr>
      <w:r>
        <w:t>Include students, teachers, parents, counselors, privacy staff, and learning-support staff in the review.</w:t>
      </w:r>
    </w:p>
    <w:p>
      <w:pPr>
        <w:pStyle w:val="ListBullet"/>
        <w:spacing w:after="48"/>
        <w:ind w:left="331" w:hanging="202"/>
      </w:pPr>
      <w:r>
        <w:t>Stop or narrow the pilot if independent performance, trust, attention, or relationships deteriorate.</w:t>
      </w:r>
    </w:p>
    <w:p>
      <w:pPr>
        <w:pStyle w:val="Heading2"/>
      </w:pPr>
      <w:r>
        <w:t>Decision rule</w:t>
      </w:r>
    </w:p>
    <w:p>
      <w:r>
        <w:t>Adopt only when the tool improves a defined educational result without weakening independent competence, privacy, relationships, or equitable access. Time saved for adults counts only when the recovered time reaches students through better teaching, feedback, or care.</w:t>
      </w:r>
    </w:p>
    <w:p>
      <w:r>
        <w:br w:type="page"/>
      </w:r>
    </w:p>
    <w:p>
      <w:pPr>
        <w:pStyle w:val="Heading1"/>
      </w:pPr>
      <w:r>
        <w:t>12  Recommended policy position</w:t>
      </w:r>
    </w:p>
    <w:p>
      <w:r>
        <w:t>Schools and universities should reject both blanket prohibition and blanket adoption. The institution should authorize specific tool roles within a developmental sequence and preserve a meaningful non-AI path when a product is not essential.</w:t>
      </w:r>
    </w:p>
    <w:p>
      <w:pPr>
        <w:pStyle w:val="Heading2"/>
      </w:pPr>
      <w:r>
        <w:t>Institution wide minimum</w:t>
      </w:r>
    </w:p>
    <w:p>
      <w:pPr>
        <w:pStyle w:val="ListBullet"/>
        <w:spacing w:after="48"/>
        <w:ind w:left="331" w:hanging="202"/>
      </w:pPr>
      <w:r>
        <w:t>Define protected human capabilities by age and discipline.</w:t>
      </w:r>
    </w:p>
    <w:p>
      <w:pPr>
        <w:pStyle w:val="ListBullet"/>
        <w:spacing w:after="48"/>
        <w:ind w:left="331" w:hanging="202"/>
      </w:pPr>
      <w:r>
        <w:t>Require school-managed accounts for routine student use whenever available.</w:t>
      </w:r>
    </w:p>
    <w:p>
      <w:pPr>
        <w:pStyle w:val="ListBullet"/>
        <w:spacing w:after="48"/>
        <w:ind w:left="331" w:hanging="202"/>
      </w:pPr>
      <w:r>
        <w:t>Give instructors assignment-level control within a common institutional floor.</w:t>
      </w:r>
    </w:p>
    <w:p>
      <w:pPr>
        <w:pStyle w:val="ListBullet"/>
        <w:spacing w:after="48"/>
        <w:ind w:left="331" w:hanging="202"/>
      </w:pPr>
      <w:r>
        <w:t>Require an independent attempt before AI on formative work unless accessibility needs justify another sequence.</w:t>
      </w:r>
    </w:p>
    <w:p>
      <w:pPr>
        <w:pStyle w:val="ListBullet"/>
        <w:spacing w:after="48"/>
        <w:ind w:left="331" w:hanging="202"/>
      </w:pPr>
      <w:r>
        <w:t>Use source-bounded or guided modes before unrestricted generation.</w:t>
      </w:r>
    </w:p>
    <w:p>
      <w:pPr>
        <w:pStyle w:val="ListBullet"/>
        <w:spacing w:after="48"/>
        <w:ind w:left="331" w:hanging="202"/>
      </w:pPr>
      <w:r>
        <w:t>Prohibit confidential and protected data in unapproved systems.</w:t>
      </w:r>
    </w:p>
    <w:p>
      <w:pPr>
        <w:pStyle w:val="ListBullet"/>
        <w:spacing w:after="48"/>
        <w:ind w:left="331" w:hanging="202"/>
      </w:pPr>
      <w:r>
        <w:t>Retain human responsibility for grading, discipline, counseling, admission, and disability decisions.</w:t>
      </w:r>
    </w:p>
    <w:p>
      <w:pPr>
        <w:pStyle w:val="ListBullet"/>
        <w:spacing w:after="48"/>
        <w:ind w:left="331" w:hanging="202"/>
      </w:pPr>
      <w:r>
        <w:t>Require recurring unaided performance and delayed learning measures.</w:t>
      </w:r>
    </w:p>
    <w:p>
      <w:pPr>
        <w:pStyle w:val="ListBullet"/>
        <w:spacing w:after="48"/>
        <w:ind w:left="331" w:hanging="202"/>
      </w:pPr>
      <w:r>
        <w:t>Give families plain-language notice, meaningful access to policies, and an appeal or alternative process.</w:t>
      </w:r>
    </w:p>
    <w:p>
      <w:pPr>
        <w:pStyle w:val="ListBullet"/>
        <w:spacing w:after="48"/>
        <w:ind w:left="331" w:hanging="202"/>
      </w:pPr>
      <w:r>
        <w:t>Review vendors and educational evidence at least annually and after major feature or policy changes.</w:t>
      </w:r>
    </w:p>
    <w:p>
      <w:pPr>
        <w:pStyle w:val="Heading2"/>
      </w:pPr>
      <w:r>
        <w:t>Final judgment</w:t>
      </w:r>
    </w:p>
    <w:p>
      <w:r>
        <w:t>AI can help form a capable mind when it is designed and governed as a temporary scaffold, an evidence tool, or an assistant to a responsible human teacher. It becomes incompatible with formation when the learner’s own memory, reasoning, voice, judgment, or relationships become optional. The test is simple to state and demanding to enforce: after using the tool, is the student more able to understand, explain, verify, choose, and act without it?</w:t>
      </w:r>
    </w:p>
    <w:p>
      <w:pPr>
        <w:pStyle w:val="Heading2"/>
      </w:pPr>
      <w:r>
        <w:t>Next investigation task</w:t>
      </w:r>
    </w:p>
    <w:p>
      <w:r>
        <w:t>Apply this matrix to the California institutions already selected. Request their approved tool lists, account types, privacy agreements, assignment rules, parent notices, teacher training, AI-free alternatives, and measured learning results. The next comparative case file should record where each institution meets, exceeds, or falls below this standard.</w:t>
      </w:r>
    </w:p>
    <w:p>
      <w:r>
        <w:br w:type="page"/>
      </w:r>
    </w:p>
    <w:p>
      <w:pPr>
        <w:pStyle w:val="Heading1"/>
      </w:pPr>
      <w:r>
        <w:t>13  Selected sources</w:t>
      </w:r>
    </w:p>
    <w:p>
      <w:r>
        <w:t>Product pages document current features and policies. They do not prove educational outcomes. Research sources are listed separately so that product claims and measured evidence remain distinct.</w:t>
      </w:r>
    </w:p>
    <w:p>
      <w:pPr>
        <w:pStyle w:val="Heading2"/>
      </w:pPr>
      <w:r>
        <w:t>Learning evidence</w:t>
      </w:r>
    </w:p>
    <w:p>
      <w:pPr>
        <w:spacing w:after="60"/>
      </w:pPr>
      <w:hyperlink r:id="rId11">
        <w:r>
          <w:rPr>
            <w:color w:val="2D5878"/>
            <w:u w:val="single"/>
          </w:rPr>
          <w:t>Bastani and colleagues  Generative AI without guardrails can harm learning</w:t>
        </w:r>
      </w:hyperlink>
      <w:r>
        <w:t xml:space="preserve"> - large field experiment in high-school mathematics.</w:t>
      </w:r>
    </w:p>
    <w:p>
      <w:pPr>
        <w:spacing w:after="60"/>
      </w:pPr>
      <w:hyperlink r:id="rId12">
        <w:r>
          <w:rPr>
            <w:color w:val="2D5878"/>
            <w:u w:val="single"/>
          </w:rPr>
          <w:t>Wang and colleagues  Tutor CoPilot</w:t>
        </w:r>
      </w:hyperlink>
      <w:r>
        <w:t xml:space="preserve"> - randomized human-AI tutoring trial involving 900 tutors and 1,800 students.</w:t>
      </w:r>
    </w:p>
    <w:p>
      <w:pPr>
        <w:spacing w:after="60"/>
      </w:pPr>
      <w:hyperlink r:id="rId13">
        <w:r>
          <w:rPr>
            <w:color w:val="2D5878"/>
            <w:u w:val="single"/>
          </w:rPr>
          <w:t>Stanford SCALE  Evidence base on AI in K-12</w:t>
        </w:r>
      </w:hyperlink>
      <w:r>
        <w:t xml:space="preserve"> - 2026 research review and human-support findings.</w:t>
      </w:r>
    </w:p>
    <w:p>
      <w:pPr>
        <w:spacing w:after="60"/>
      </w:pPr>
      <w:hyperlink r:id="rId14">
        <w:r>
          <w:rPr>
            <w:color w:val="2D5878"/>
            <w:u w:val="single"/>
          </w:rPr>
          <w:t>Contractor and Reyes  Experimental evidence on the learning impact of generative AI</w:t>
        </w:r>
      </w:hyperlink>
      <w:r>
        <w:t xml:space="preserve"> - randomized study distinguishing augmentation from automation.</w:t>
      </w:r>
    </w:p>
    <w:p>
      <w:pPr>
        <w:spacing w:after="60"/>
      </w:pPr>
      <w:hyperlink r:id="rId15">
        <w:r>
          <w:rPr>
            <w:color w:val="2D5878"/>
            <w:u w:val="single"/>
          </w:rPr>
          <w:t>Chen and colleagues  AI support for learning mathematical proof</w:t>
        </w:r>
      </w:hyperlink>
      <w:r>
        <w:t xml:space="preserve"> - homework gains, no significant exam gain, and overreliance concerns.</w:t>
      </w:r>
    </w:p>
    <w:p>
      <w:pPr>
        <w:pStyle w:val="Heading2"/>
      </w:pPr>
      <w:r>
        <w:t>Guided learning and source bounded tools</w:t>
      </w:r>
    </w:p>
    <w:p>
      <w:pPr>
        <w:spacing w:after="60"/>
      </w:pPr>
      <w:hyperlink r:id="rId16">
        <w:r>
          <w:rPr>
            <w:color w:val="2D5878"/>
            <w:u w:val="single"/>
          </w:rPr>
          <w:t>Khanmigo</w:t>
        </w:r>
      </w:hyperlink>
      <w:r>
        <w:t xml:space="preserve"> - guided tutoring, teacher tools, parent controls, and access rules.</w:t>
      </w:r>
    </w:p>
    <w:p>
      <w:pPr>
        <w:spacing w:after="60"/>
      </w:pPr>
      <w:hyperlink r:id="rId17">
        <w:r>
          <w:rPr>
            <w:color w:val="2D5878"/>
            <w:u w:val="single"/>
          </w:rPr>
          <w:t>Google Gemini for Education</w:t>
        </w:r>
      </w:hyperlink>
      <w:r>
        <w:t xml:space="preserve"> - under-18 experience, data protections, guided learning, and verification features.</w:t>
      </w:r>
    </w:p>
    <w:p>
      <w:pPr>
        <w:spacing w:after="60"/>
      </w:pPr>
      <w:hyperlink r:id="rId18">
        <w:r>
          <w:rPr>
            <w:color w:val="2D5878"/>
            <w:u w:val="single"/>
          </w:rPr>
          <w:t>Google Gemini Notebook</w:t>
        </w:r>
      </w:hyperlink>
      <w:r>
        <w:t xml:space="preserve"> - source-bounded education notebook and Workspace protections.</w:t>
      </w:r>
    </w:p>
    <w:p>
      <w:pPr>
        <w:spacing w:after="60"/>
      </w:pPr>
      <w:hyperlink r:id="rId19">
        <w:r>
          <w:rPr>
            <w:color w:val="2D5878"/>
            <w:u w:val="single"/>
          </w:rPr>
          <w:t>Anthropic Claude for Education</w:t>
        </w:r>
      </w:hyperlink>
      <w:r>
        <w:t xml:space="preserve"> - Learning Mode and higher-education deployment.</w:t>
      </w:r>
    </w:p>
    <w:p>
      <w:pPr>
        <w:spacing w:after="60"/>
      </w:pPr>
      <w:hyperlink r:id="rId20">
        <w:r>
          <w:rPr>
            <w:color w:val="2D5878"/>
            <w:u w:val="single"/>
          </w:rPr>
          <w:t>OpenAI ChatGPT Edu</w:t>
        </w:r>
      </w:hyperlink>
      <w:r>
        <w:t xml:space="preserve"> - institutional deployment and workspace controls.</w:t>
      </w:r>
    </w:p>
    <w:p>
      <w:pPr>
        <w:pStyle w:val="Heading2"/>
      </w:pPr>
      <w:r>
        <w:t>Teacher platforms and advanced tools</w:t>
      </w:r>
    </w:p>
    <w:p>
      <w:pPr>
        <w:spacing w:after="60"/>
      </w:pPr>
      <w:hyperlink r:id="rId21">
        <w:r>
          <w:rPr>
            <w:color w:val="2D5878"/>
            <w:u w:val="single"/>
          </w:rPr>
          <w:t>MagicSchool trust and privacy</w:t>
        </w:r>
      </w:hyperlink>
      <w:r>
        <w:t xml:space="preserve"> - school controls, privacy claims, and certifications.</w:t>
      </w:r>
    </w:p>
    <w:p>
      <w:pPr>
        <w:spacing w:after="60"/>
      </w:pPr>
      <w:hyperlink r:id="rId22">
        <w:r>
          <w:rPr>
            <w:color w:val="2D5878"/>
            <w:u w:val="single"/>
          </w:rPr>
          <w:t>SchoolAI</w:t>
        </w:r>
      </w:hyperlink>
      <w:r>
        <w:t xml:space="preserve"> - teacher-designed Spaces, Mission Control, safety, and emerging evidence claims.</w:t>
      </w:r>
    </w:p>
    <w:p>
      <w:pPr>
        <w:spacing w:after="60"/>
      </w:pPr>
      <w:hyperlink r:id="rId23">
        <w:r>
          <w:rPr>
            <w:color w:val="2D5878"/>
            <w:u w:val="single"/>
          </w:rPr>
          <w:t>Brisk Teaching</w:t>
        </w:r>
      </w:hyperlink>
      <w:r>
        <w:t xml:space="preserve"> - teacher workflow, feedback, student activities, and privacy information.</w:t>
      </w:r>
    </w:p>
    <w:p>
      <w:pPr>
        <w:spacing w:after="60"/>
      </w:pPr>
      <w:hyperlink r:id="rId24">
        <w:r>
          <w:rPr>
            <w:color w:val="2D5878"/>
            <w:u w:val="single"/>
          </w:rPr>
          <w:t>Elicit</w:t>
        </w:r>
      </w:hyperlink>
      <w:r>
        <w:t xml:space="preserve"> - academic search, extraction, literature review, and sentence-level citations.</w:t>
      </w:r>
    </w:p>
    <w:p>
      <w:pPr>
        <w:spacing w:after="60"/>
      </w:pPr>
      <w:hyperlink r:id="rId25">
        <w:r>
          <w:rPr>
            <w:color w:val="2D5878"/>
            <w:u w:val="single"/>
          </w:rPr>
          <w:t>GitHub Education</w:t>
        </w:r>
      </w:hyperlink>
      <w:r>
        <w:t xml:space="preserve"> - Copilot access and educational use.</w:t>
      </w:r>
    </w:p>
    <w:p>
      <w:pPr>
        <w:pStyle w:val="Heading2"/>
      </w:pPr>
      <w:r>
        <w:t>Scope limit</w:t>
      </w:r>
    </w:p>
    <w:p>
      <w:r>
        <w:t>This case file evaluates publicly documented tool modes and selected research available in September 2026. Institutions must verify current contracts, product settings, age eligibility, accessibility, state requirements, and data practices before adoption. Product behavior should be tested directly because a vendor may change its models, defaults, integrations, or terms.</w:t>
      </w:r>
    </w:p>
    <w:sectPr w:rsidR="00FC693F" w:rsidRPr="0006063C" w:rsidSect="00034616">
      <w:headerReference w:type="default" r:id="rId9"/>
      <w:footerReference w:type="default" r:id="rId10"/>
      <w:pgSz w:w="12240" w:h="15840"/>
      <w:pgMar w:top="979" w:right="1008" w:bottom="922" w:left="1008" w:header="374"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color w:val="5A6269"/>
        <w:sz w:val="14"/>
      </w:rPr>
      <w:t>Project and Editorial Direction by Patrick Russell | Research synthesis assisted by ChatGPT and OpenAI</w:t>
    </w:r>
  </w:p>
  <w:p>
    <w:pPr>
      <w:jc w:val="righ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ptos" w:hAnsi="Aptos"/>
        <w:b/>
        <w:color w:val="000000"/>
        <w:sz w:val="14"/>
      </w:rPr>
      <w:t>THE WELL FORMED MIND PROJECT  /  AI TOOL SUITABILITY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9" w:lineRule="auto"/>
    </w:pPr>
    <w:rPr>
      <w:rFonts w:ascii="Aptos" w:hAnsi="Aptos" w:eastAsia="Aptos"/>
      <w:color w:val="262B3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ptos Display" w:hAnsi="Aptos Display" w:eastAsia="Aptos Display"/>
      <w:b/>
      <w:bCs/>
      <w:color w:val="000000"/>
      <w:sz w:val="33"/>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eastAsia="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ptos" w:hAnsi="Aptos" w:eastAsia="Aptos"/>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ptos Display" w:hAnsi="Aptos Display" w:eastAsia="Aptos Display"/>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20"/>
    </w:pPr>
    <w:rPr>
      <w:rFonts w:asciiTheme="majorHAnsi" w:eastAsiaTheme="majorEastAsia" w:hAnsiTheme="majorHAnsi" w:cstheme="majorBidi" w:ascii="Aptos Display" w:hAnsi="Aptos Display" w:eastAsia="Aptos Display"/>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ck">
    <w:name w:val="Deck"/>
    <w:pPr>
      <w:spacing w:after="160" w:line="276" w:lineRule="auto"/>
    </w:pPr>
    <w:rPr>
      <w:rFonts w:ascii="Aptos" w:hAnsi="Aptos"/>
      <w:color w:val="5A6269"/>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pnas.org/doi/10.1073/pnas.2422633122" TargetMode="External"/><Relationship Id="rId12" Type="http://schemas.openxmlformats.org/officeDocument/2006/relationships/hyperlink" Target="https://arxiv.org/abs/2410.03017" TargetMode="External"/><Relationship Id="rId13" Type="http://schemas.openxmlformats.org/officeDocument/2006/relationships/hyperlink" Target="https://scale.stanford.edu/" TargetMode="External"/><Relationship Id="rId14" Type="http://schemas.openxmlformats.org/officeDocument/2006/relationships/hyperlink" Target="https://arxiv.org/abs/2607.08849" TargetMode="External"/><Relationship Id="rId15" Type="http://schemas.openxmlformats.org/officeDocument/2006/relationships/hyperlink" Target="https://arxiv.org/abs/2509.16778" TargetMode="External"/><Relationship Id="rId16" Type="http://schemas.openxmlformats.org/officeDocument/2006/relationships/hyperlink" Target="https://www.khanmigo.ai/" TargetMode="External"/><Relationship Id="rId17" Type="http://schemas.openxmlformats.org/officeDocument/2006/relationships/hyperlink" Target="https://edu.google.com/ai/gemini-for-education/" TargetMode="External"/><Relationship Id="rId18" Type="http://schemas.openxmlformats.org/officeDocument/2006/relationships/hyperlink" Target="https://edu.google.com/ai/gemini-notebook/" TargetMode="External"/><Relationship Id="rId19" Type="http://schemas.openxmlformats.org/officeDocument/2006/relationships/hyperlink" Target="https://www.anthropic.com/news/introducing-claude-for-education" TargetMode="External"/><Relationship Id="rId20" Type="http://schemas.openxmlformats.org/officeDocument/2006/relationships/hyperlink" Target="https://help.openai.com/en/articles/9377311-chatgpt-edu-at-openai" TargetMode="External"/><Relationship Id="rId21" Type="http://schemas.openxmlformats.org/officeDocument/2006/relationships/hyperlink" Target="https://www.magicschool.ai/privacy/trust" TargetMode="External"/><Relationship Id="rId22" Type="http://schemas.openxmlformats.org/officeDocument/2006/relationships/hyperlink" Target="https://schoolai.com/" TargetMode="External"/><Relationship Id="rId23" Type="http://schemas.openxmlformats.org/officeDocument/2006/relationships/hyperlink" Target="https://www.briskteaching.com/" TargetMode="External"/><Relationship Id="rId24" Type="http://schemas.openxmlformats.org/officeDocument/2006/relationships/hyperlink" Target="https://elicit.com/" TargetMode="External"/><Relationship Id="rId25" Type="http://schemas.openxmlformats.org/officeDocument/2006/relationships/hyperlink" Target="https://github.com/education/teach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Tool Suitability Matrix for a Well Formed Mind</dc:title>
  <dc:subject>Education and human formation in the age of artificial intelligence</dc:subject>
  <dc:creator>Patrick Russell; research synthesis assisted by ChatGPT and OpenAI</dc:creator>
  <cp:keywords>AI education, well formed mind, schools, universities, tutoring, privacy, assessment, mental fitness</cp:keywords>
  <dc:description>generated by python-docx</dc:description>
  <cp:lastModifiedBy/>
  <cp:revision>1</cp:revision>
  <dcterms:created xsi:type="dcterms:W3CDTF">2013-12-23T23:15:00Z</dcterms:created>
  <dcterms:modified xsi:type="dcterms:W3CDTF">2013-12-23T23:15:00Z</dcterms:modified>
  <cp:category/>
</cp:coreProperties>
</file>