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Empirical Evidence Review</w:t>
      </w:r>
    </w:p>
    <w:p>
      <w:pPr>
        <w:spacing w:after="220"/>
      </w:pPr>
      <w:r>
        <w:rPr>
          <w:b/>
          <w:color w:val="2B5370"/>
          <w:sz w:val="23"/>
        </w:rPr>
        <w:t>Phase Four  Learning, mental fitness, wellness, and course design</w:t>
      </w:r>
    </w:p>
    <w:tbl>
      <w:tblPr>
        <w:tblW w:type="auto" w:w="0"/>
        <w:jc w:val="left"/>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cantSplit/>
        </w:trPr>
        <w:tc>
          <w:tcPr>
            <w:tcW w:type="dxa" w:w="2376"/>
            <w:tcMar>
              <w:top w:w="70" w:type="dxa"/>
              <w:start w:w="95" w:type="dxa"/>
              <w:bottom w:w="70" w:type="dxa"/>
              <w:end w:w="95" w:type="dxa"/>
            </w:tcMar>
            <w:vAlign w:val="center"/>
            <w:shd w:fill="F2F6F8"/>
          </w:tcPr>
          <w:p>
            <w:r>
              <w:rPr>
                <w:b/>
              </w:rPr>
              <w:t>Responsible person</w:t>
            </w:r>
          </w:p>
        </w:tc>
        <w:tc>
          <w:tcPr>
            <w:tcW w:type="dxa" w:w="7848"/>
            <w:tcMar>
              <w:top w:w="70" w:type="dxa"/>
              <w:start w:w="95" w:type="dxa"/>
              <w:bottom w:w="70" w:type="dxa"/>
              <w:end w:w="95" w:type="dxa"/>
            </w:tcMar>
            <w:vAlign w:val="center"/>
          </w:tcPr>
          <w:p>
            <w:r>
              <w:t>____________________________________________</w:t>
            </w:r>
          </w:p>
        </w:tc>
      </w:tr>
      <w:tr>
        <w:trPr>
          <w:cantSplit/>
        </w:trPr>
        <w:tc>
          <w:tcPr>
            <w:tcW w:type="dxa" w:w="2376"/>
            <w:tcMar>
              <w:top w:w="70" w:type="dxa"/>
              <w:start w:w="95" w:type="dxa"/>
              <w:bottom w:w="70" w:type="dxa"/>
              <w:end w:w="95" w:type="dxa"/>
            </w:tcMar>
            <w:vAlign w:val="center"/>
            <w:shd w:fill="F2F6F8"/>
          </w:tcPr>
          <w:p>
            <w:r>
              <w:rPr>
                <w:b/>
              </w:rPr>
              <w:t>Organization or role</w:t>
            </w:r>
          </w:p>
        </w:tc>
        <w:tc>
          <w:tcPr>
            <w:tcW w:type="dxa" w:w="7848"/>
            <w:tcMar>
              <w:top w:w="70" w:type="dxa"/>
              <w:start w:w="95" w:type="dxa"/>
              <w:bottom w:w="70" w:type="dxa"/>
              <w:end w:w="95" w:type="dxa"/>
            </w:tcMar>
            <w:vAlign w:val="center"/>
          </w:tcPr>
          <w:p>
            <w:r>
              <w:t>____________________________________________</w:t>
            </w:r>
          </w:p>
        </w:tc>
      </w:tr>
      <w:tr>
        <w:trPr>
          <w:cantSplit/>
        </w:trPr>
        <w:tc>
          <w:tcPr>
            <w:tcW w:type="dxa" w:w="2376"/>
            <w:tcMar>
              <w:top w:w="70" w:type="dxa"/>
              <w:start w:w="95" w:type="dxa"/>
              <w:bottom w:w="70" w:type="dxa"/>
              <w:end w:w="95" w:type="dxa"/>
            </w:tcMar>
            <w:vAlign w:val="center"/>
            <w:shd w:fill="F2F6F8"/>
          </w:tcPr>
          <w:p>
            <w:r>
              <w:rPr>
                <w:b/>
              </w:rPr>
              <w:t>Review date</w:t>
            </w:r>
          </w:p>
        </w:tc>
        <w:tc>
          <w:tcPr>
            <w:tcW w:type="dxa" w:w="7848"/>
            <w:tcMar>
              <w:top w:w="70" w:type="dxa"/>
              <w:start w:w="95" w:type="dxa"/>
              <w:bottom w:w="70" w:type="dxa"/>
              <w:end w:w="95" w:type="dxa"/>
            </w:tcMar>
            <w:vAlign w:val="center"/>
          </w:tcPr>
          <w:p>
            <w:r>
              <w:t>____________________________________________</w:t>
            </w:r>
          </w:p>
        </w:tc>
      </w:tr>
    </w:tbl>
    <w:p>
      <w:pPr>
        <w:pStyle w:val="Heading1"/>
      </w:pPr>
      <w:r>
        <w:t>Main finding</w:t>
      </w:r>
    </w:p>
    <w:p>
      <w:r>
        <w:t>The research does not support a simple conclusion that AI either improves or damages education. It supports a more specific finding: general-purpose AI can raise immediate task performance while weakening unaided learning when it supplies answers or performs the central mental act. Purpose-built tutoring, staged assistance, and AI support for human educators can improve learning when they preserve reasoning and feedback. The outcome depends on what the tool does, when it enters the task, and how the student later demonstrates understanding.</w:t>
      </w:r>
    </w:p>
    <w:p>
      <w:r>
        <w:t>The strongest present evidence concerns short-term mathematics, physics, programming, writing, and instructional support. Evidence about long-term memory, independent judgment, student relationships, mental health, and development remains limited. Claims about a well-formed mind therefore require direct measurement over time; course policies and student products alone cannot establish the result.</w:t>
      </w:r>
    </w:p>
    <w:p>
      <w:pPr>
        <w:pStyle w:val="Heading1"/>
      </w:pPr>
      <w:r>
        <w:t>Evidence standard</w:t>
      </w:r>
    </w:p>
    <w:p>
      <w:r>
        <w:t>This review gives greater weight to peer-reviewed randomized or quasi-experimental studies, then to credible preprints and research syntheses. A result is treated as direct only when the study measures the same population, task, exposure, and outcome. General learning-science findings can justify a design principle, but they do not prove that a particular AI policy works in a particular school.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cantSplit/>
          <w:tblHeader w:val="true"/>
        </w:trPr>
        <w:tc>
          <w:tcPr>
            <w:tcW w:type="dxa" w:w="1656"/>
            <w:shd w:fill="173A52"/>
            <w:tcMar>
              <w:top w:w="65" w:type="dxa"/>
              <w:start w:w="80" w:type="dxa"/>
              <w:bottom w:w="65" w:type="dxa"/>
              <w:end w:w="80" w:type="dxa"/>
            </w:tcMar>
            <w:vAlign w:val="center"/>
          </w:tcPr>
          <w:p>
            <w:r>
              <w:rPr>
                <w:b/>
                <w:color w:val="FFFFFF"/>
                <w:sz w:val="16"/>
              </w:rPr>
              <w:t>Rating</w:t>
            </w:r>
          </w:p>
        </w:tc>
        <w:tc>
          <w:tcPr>
            <w:tcW w:type="dxa" w:w="3960"/>
            <w:shd w:fill="173A52"/>
            <w:tcMar>
              <w:top w:w="65" w:type="dxa"/>
              <w:start w:w="80" w:type="dxa"/>
              <w:bottom w:w="65" w:type="dxa"/>
              <w:end w:w="80" w:type="dxa"/>
            </w:tcMar>
            <w:vAlign w:val="center"/>
          </w:tcPr>
          <w:p>
            <w:r>
              <w:rPr>
                <w:b/>
                <w:color w:val="FFFFFF"/>
                <w:sz w:val="16"/>
              </w:rPr>
              <w:t>Meaning</w:t>
            </w:r>
          </w:p>
        </w:tc>
        <w:tc>
          <w:tcPr>
            <w:tcW w:type="dxa" w:w="4781"/>
            <w:shd w:fill="173A52"/>
            <w:tcMar>
              <w:top w:w="65" w:type="dxa"/>
              <w:start w:w="80" w:type="dxa"/>
              <w:bottom w:w="65" w:type="dxa"/>
              <w:end w:w="80" w:type="dxa"/>
            </w:tcMar>
            <w:vAlign w:val="center"/>
          </w:tcPr>
          <w:p>
            <w:r>
              <w:rPr>
                <w:b/>
                <w:color w:val="FFFFFF"/>
                <w:sz w:val="16"/>
              </w:rPr>
              <w:t>Use in this review</w:t>
            </w:r>
          </w:p>
        </w:tc>
      </w:tr>
      <w:tr>
        <w:trPr>
          <w:cantSplit/>
        </w:trPr>
        <w:tc>
          <w:tcPr>
            <w:tcW w:type="dxa" w:w="1656"/>
            <w:tcMar>
              <w:top w:w="55" w:type="dxa"/>
              <w:start w:w="70" w:type="dxa"/>
              <w:bottom w:w="55" w:type="dxa"/>
              <w:end w:w="70" w:type="dxa"/>
            </w:tcMar>
            <w:vAlign w:val="center"/>
          </w:tcPr>
          <w:p>
            <w:pPr>
              <w:jc w:val="center"/>
            </w:pPr>
            <w:r>
              <w:rPr>
                <w:b/>
                <w:sz w:val="16"/>
              </w:rPr>
              <w:t>Strong</w:t>
            </w:r>
          </w:p>
        </w:tc>
        <w:tc>
          <w:tcPr>
            <w:tcW w:type="dxa" w:w="3960"/>
            <w:tcMar>
              <w:top w:w="55" w:type="dxa"/>
              <w:start w:w="70" w:type="dxa"/>
              <w:bottom w:w="55" w:type="dxa"/>
              <w:end w:w="70" w:type="dxa"/>
            </w:tcMar>
            <w:vAlign w:val="center"/>
          </w:tcPr>
          <w:p>
            <w:r>
              <w:rPr>
                <w:sz w:val="16"/>
              </w:rPr>
              <w:t>Peer-reviewed causal evidence or a well-established learning effect</w:t>
            </w:r>
          </w:p>
        </w:tc>
        <w:tc>
          <w:tcPr>
            <w:tcW w:type="dxa" w:w="4781"/>
            <w:tcMar>
              <w:top w:w="55" w:type="dxa"/>
              <w:start w:w="70" w:type="dxa"/>
              <w:bottom w:w="55" w:type="dxa"/>
              <w:end w:w="70" w:type="dxa"/>
            </w:tcMar>
            <w:vAlign w:val="center"/>
          </w:tcPr>
          <w:p>
            <w:r>
              <w:rPr>
                <w:sz w:val="16"/>
              </w:rPr>
              <w:t>Can support a course requirement, with attention to context</w:t>
            </w:r>
          </w:p>
        </w:tc>
      </w:tr>
      <w:tr>
        <w:trPr>
          <w:cantSplit/>
        </w:trPr>
        <w:tc>
          <w:tcPr>
            <w:tcW w:type="dxa" w:w="1656"/>
            <w:tcMar>
              <w:top w:w="55" w:type="dxa"/>
              <w:start w:w="70" w:type="dxa"/>
              <w:bottom w:w="55" w:type="dxa"/>
              <w:end w:w="70" w:type="dxa"/>
            </w:tcMar>
            <w:vAlign w:val="center"/>
            <w:shd w:fill="F7F8F9"/>
          </w:tcPr>
          <w:p>
            <w:pPr>
              <w:jc w:val="center"/>
            </w:pPr>
            <w:r>
              <w:rPr>
                <w:b/>
                <w:sz w:val="16"/>
              </w:rPr>
              <w:t>Moderate</w:t>
            </w:r>
          </w:p>
        </w:tc>
        <w:tc>
          <w:tcPr>
            <w:tcW w:type="dxa" w:w="3960"/>
            <w:tcMar>
              <w:top w:w="55" w:type="dxa"/>
              <w:start w:w="70" w:type="dxa"/>
              <w:bottom w:w="55" w:type="dxa"/>
              <w:end w:w="70" w:type="dxa"/>
            </w:tcMar>
            <w:vAlign w:val="center"/>
            <w:shd w:fill="F7F8F9"/>
          </w:tcPr>
          <w:p>
            <w:r>
              <w:rPr>
                <w:sz w:val="16"/>
              </w:rPr>
              <w:t>One credible causal study, a strong synthesis, or converging evidence with limits</w:t>
            </w:r>
          </w:p>
        </w:tc>
        <w:tc>
          <w:tcPr>
            <w:tcW w:type="dxa" w:w="4781"/>
            <w:tcMar>
              <w:top w:w="55" w:type="dxa"/>
              <w:start w:w="70" w:type="dxa"/>
              <w:bottom w:w="55" w:type="dxa"/>
              <w:end w:w="70" w:type="dxa"/>
            </w:tcMar>
            <w:vAlign w:val="center"/>
            <w:shd w:fill="F7F8F9"/>
          </w:tcPr>
          <w:p>
            <w:r>
              <w:rPr>
                <w:sz w:val="16"/>
              </w:rPr>
              <w:t>Supports a cautious design choice and local evaluation</w:t>
            </w:r>
          </w:p>
        </w:tc>
      </w:tr>
      <w:tr>
        <w:trPr>
          <w:cantSplit/>
        </w:trPr>
        <w:tc>
          <w:tcPr>
            <w:tcW w:type="dxa" w:w="1656"/>
            <w:tcMar>
              <w:top w:w="55" w:type="dxa"/>
              <w:start w:w="70" w:type="dxa"/>
              <w:bottom w:w="55" w:type="dxa"/>
              <w:end w:w="70" w:type="dxa"/>
            </w:tcMar>
            <w:vAlign w:val="center"/>
          </w:tcPr>
          <w:p>
            <w:pPr>
              <w:jc w:val="center"/>
            </w:pPr>
            <w:r>
              <w:rPr>
                <w:b/>
                <w:sz w:val="16"/>
              </w:rPr>
              <w:t>Preliminary</w:t>
            </w:r>
          </w:p>
        </w:tc>
        <w:tc>
          <w:tcPr>
            <w:tcW w:type="dxa" w:w="3960"/>
            <w:tcMar>
              <w:top w:w="55" w:type="dxa"/>
              <w:start w:w="70" w:type="dxa"/>
              <w:bottom w:w="55" w:type="dxa"/>
              <w:end w:w="70" w:type="dxa"/>
            </w:tcMar>
            <w:vAlign w:val="center"/>
          </w:tcPr>
          <w:p>
            <w:r>
              <w:rPr>
                <w:sz w:val="16"/>
              </w:rPr>
              <w:t>Small study, preprint, short exposure, self-report, or indirect transfer</w:t>
            </w:r>
          </w:p>
        </w:tc>
        <w:tc>
          <w:tcPr>
            <w:tcW w:type="dxa" w:w="4781"/>
            <w:tcMar>
              <w:top w:w="55" w:type="dxa"/>
              <w:start w:w="70" w:type="dxa"/>
              <w:bottom w:w="55" w:type="dxa"/>
              <w:end w:w="70" w:type="dxa"/>
            </w:tcMar>
            <w:vAlign w:val="center"/>
          </w:tcPr>
          <w:p>
            <w:r>
              <w:rPr>
                <w:sz w:val="16"/>
              </w:rPr>
              <w:t>Signals a risk or opportunity that must be tested</w:t>
            </w:r>
          </w:p>
        </w:tc>
      </w:tr>
      <w:tr>
        <w:trPr>
          <w:cantSplit/>
        </w:trPr>
        <w:tc>
          <w:tcPr>
            <w:tcW w:type="dxa" w:w="1656"/>
            <w:tcMar>
              <w:top w:w="55" w:type="dxa"/>
              <w:start w:w="70" w:type="dxa"/>
              <w:bottom w:w="55" w:type="dxa"/>
              <w:end w:w="70" w:type="dxa"/>
            </w:tcMar>
            <w:vAlign w:val="center"/>
            <w:shd w:fill="F7F8F9"/>
          </w:tcPr>
          <w:p>
            <w:pPr>
              <w:jc w:val="center"/>
            </w:pPr>
            <w:r>
              <w:rPr>
                <w:b/>
                <w:sz w:val="16"/>
              </w:rPr>
              <w:t>Insufficient</w:t>
            </w:r>
          </w:p>
        </w:tc>
        <w:tc>
          <w:tcPr>
            <w:tcW w:type="dxa" w:w="3960"/>
            <w:tcMar>
              <w:top w:w="55" w:type="dxa"/>
              <w:start w:w="70" w:type="dxa"/>
              <w:bottom w:w="55" w:type="dxa"/>
              <w:end w:w="70" w:type="dxa"/>
            </w:tcMar>
            <w:vAlign w:val="center"/>
            <w:shd w:fill="F7F8F9"/>
          </w:tcPr>
          <w:p>
            <w:r>
              <w:rPr>
                <w:sz w:val="16"/>
              </w:rPr>
              <w:t>No direct causal evidence for the outcome or population</w:t>
            </w:r>
          </w:p>
        </w:tc>
        <w:tc>
          <w:tcPr>
            <w:tcW w:type="dxa" w:w="4781"/>
            <w:tcMar>
              <w:top w:w="55" w:type="dxa"/>
              <w:start w:w="70" w:type="dxa"/>
              <w:bottom w:w="55" w:type="dxa"/>
              <w:end w:w="70" w:type="dxa"/>
            </w:tcMar>
            <w:vAlign w:val="center"/>
            <w:shd w:fill="F7F8F9"/>
          </w:tcPr>
          <w:p>
            <w:r>
              <w:rPr>
                <w:sz w:val="16"/>
              </w:rPr>
              <w:t>Do not claim an effect; measure it</w:t>
            </w:r>
          </w:p>
        </w:tc>
      </w:tr>
    </w:tbl>
    <w:p>
      <w:pPr>
        <w:spacing w:after="0"/>
      </w:pPr>
    </w:p>
    <w:p>
      <w:r>
        <w:br w:type="page"/>
      </w:r>
    </w:p>
    <w:p>
      <w:pPr>
        <w:pStyle w:val="Heading1"/>
      </w:pPr>
      <w:r>
        <w:t>Empirical evidence at a glance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cantSplit/>
          <w:tblHeader w:val="true"/>
        </w:trPr>
        <w:tc>
          <w:tcPr>
            <w:tcW w:type="dxa" w:w="2232"/>
            <w:shd w:fill="173A52"/>
            <w:tcMar>
              <w:top w:w="65" w:type="dxa"/>
              <w:start w:w="80" w:type="dxa"/>
              <w:bottom w:w="65" w:type="dxa"/>
              <w:end w:w="80" w:type="dxa"/>
            </w:tcMar>
            <w:vAlign w:val="center"/>
          </w:tcPr>
          <w:p>
            <w:r>
              <w:rPr>
                <w:b/>
                <w:color w:val="FFFFFF"/>
                <w:sz w:val="14"/>
              </w:rPr>
              <w:t>Question</w:t>
            </w:r>
          </w:p>
        </w:tc>
        <w:tc>
          <w:tcPr>
            <w:tcW w:type="dxa" w:w="3672"/>
            <w:shd w:fill="173A52"/>
            <w:tcMar>
              <w:top w:w="65" w:type="dxa"/>
              <w:start w:w="80" w:type="dxa"/>
              <w:bottom w:w="65" w:type="dxa"/>
              <w:end w:w="80" w:type="dxa"/>
            </w:tcMar>
            <w:vAlign w:val="center"/>
          </w:tcPr>
          <w:p>
            <w:r>
              <w:rPr>
                <w:b/>
                <w:color w:val="FFFFFF"/>
                <w:sz w:val="14"/>
              </w:rPr>
              <w:t>Best current finding</w:t>
            </w:r>
          </w:p>
        </w:tc>
        <w:tc>
          <w:tcPr>
            <w:tcW w:type="dxa" w:w="1512"/>
            <w:shd w:fill="173A52"/>
            <w:tcMar>
              <w:top w:w="65" w:type="dxa"/>
              <w:start w:w="80" w:type="dxa"/>
              <w:bottom w:w="65" w:type="dxa"/>
              <w:end w:w="80" w:type="dxa"/>
            </w:tcMar>
            <w:vAlign w:val="center"/>
          </w:tcPr>
          <w:p>
            <w:r>
              <w:rPr>
                <w:b/>
                <w:color w:val="FFFFFF"/>
                <w:sz w:val="14"/>
              </w:rPr>
              <w:t>Rating</w:t>
            </w:r>
          </w:p>
        </w:tc>
        <w:tc>
          <w:tcPr>
            <w:tcW w:type="dxa" w:w="2981"/>
            <w:shd w:fill="173A52"/>
            <w:tcMar>
              <w:top w:w="65" w:type="dxa"/>
              <w:start w:w="80" w:type="dxa"/>
              <w:bottom w:w="65" w:type="dxa"/>
              <w:end w:w="80" w:type="dxa"/>
            </w:tcMar>
            <w:vAlign w:val="center"/>
          </w:tcPr>
          <w:p>
            <w:r>
              <w:rPr>
                <w:b/>
                <w:color w:val="FFFFFF"/>
                <w:sz w:val="14"/>
              </w:rPr>
              <w:t>Educational implication</w:t>
            </w:r>
          </w:p>
        </w:tc>
      </w:tr>
      <w:tr>
        <w:trPr>
          <w:cantSplit/>
        </w:trPr>
        <w:tc>
          <w:tcPr>
            <w:tcW w:type="dxa" w:w="2232"/>
            <w:tcMar>
              <w:top w:w="55" w:type="dxa"/>
              <w:start w:w="70" w:type="dxa"/>
              <w:bottom w:w="55" w:type="dxa"/>
              <w:end w:w="70" w:type="dxa"/>
            </w:tcMar>
            <w:vAlign w:val="center"/>
          </w:tcPr>
          <w:p>
            <w:r>
              <w:rPr>
                <w:b/>
                <w:sz w:val="14"/>
              </w:rPr>
              <w:t>Immediate performance</w:t>
            </w:r>
          </w:p>
        </w:tc>
        <w:tc>
          <w:tcPr>
            <w:tcW w:type="dxa" w:w="3672"/>
            <w:tcMar>
              <w:top w:w="55" w:type="dxa"/>
              <w:start w:w="70" w:type="dxa"/>
              <w:bottom w:w="55" w:type="dxa"/>
              <w:end w:w="70" w:type="dxa"/>
            </w:tcMar>
            <w:vAlign w:val="center"/>
          </w:tcPr>
          <w:p>
            <w:r>
              <w:rPr>
                <w:sz w:val="14"/>
              </w:rPr>
              <w:t>AI often improves work completed while access remains available</w:t>
            </w:r>
          </w:p>
        </w:tc>
        <w:tc>
          <w:tcPr>
            <w:tcW w:type="dxa" w:w="1512"/>
            <w:tcMar>
              <w:top w:w="55" w:type="dxa"/>
              <w:start w:w="70" w:type="dxa"/>
              <w:bottom w:w="55" w:type="dxa"/>
              <w:end w:w="70" w:type="dxa"/>
            </w:tcMar>
            <w:vAlign w:val="center"/>
          </w:tcPr>
          <w:p>
            <w:pPr>
              <w:jc w:val="center"/>
            </w:pPr>
            <w:r>
              <w:rPr>
                <w:sz w:val="14"/>
              </w:rPr>
              <w:t>Moderate</w:t>
            </w:r>
          </w:p>
        </w:tc>
        <w:tc>
          <w:tcPr>
            <w:tcW w:type="dxa" w:w="2981"/>
            <w:tcMar>
              <w:top w:w="55" w:type="dxa"/>
              <w:start w:w="70" w:type="dxa"/>
              <w:bottom w:w="55" w:type="dxa"/>
              <w:end w:w="70" w:type="dxa"/>
            </w:tcMar>
            <w:vAlign w:val="center"/>
          </w:tcPr>
          <w:p>
            <w:r>
              <w:rPr>
                <w:sz w:val="14"/>
              </w:rPr>
              <w:t>Do not treat assisted output as proof of learning</w:t>
            </w:r>
          </w:p>
        </w:tc>
      </w:tr>
      <w:tr>
        <w:trPr>
          <w:cantSplit/>
        </w:trPr>
        <w:tc>
          <w:tcPr>
            <w:tcW w:type="dxa" w:w="2232"/>
            <w:tcMar>
              <w:top w:w="55" w:type="dxa"/>
              <w:start w:w="70" w:type="dxa"/>
              <w:bottom w:w="55" w:type="dxa"/>
              <w:end w:w="70" w:type="dxa"/>
            </w:tcMar>
            <w:vAlign w:val="center"/>
            <w:shd w:fill="F7F8F9"/>
          </w:tcPr>
          <w:p>
            <w:r>
              <w:rPr>
                <w:b/>
                <w:sz w:val="14"/>
              </w:rPr>
              <w:t>Unaided learning</w:t>
            </w:r>
          </w:p>
        </w:tc>
        <w:tc>
          <w:tcPr>
            <w:tcW w:type="dxa" w:w="3672"/>
            <w:tcMar>
              <w:top w:w="55" w:type="dxa"/>
              <w:start w:w="70" w:type="dxa"/>
              <w:bottom w:w="55" w:type="dxa"/>
              <w:end w:w="70" w:type="dxa"/>
            </w:tcMar>
            <w:vAlign w:val="center"/>
            <w:shd w:fill="F7F8F9"/>
          </w:tcPr>
          <w:p>
            <w:r>
              <w:rPr>
                <w:sz w:val="14"/>
              </w:rPr>
              <w:t>Effects are mixed; unguarded assistance can reduce later independent performance</w:t>
            </w:r>
          </w:p>
        </w:tc>
        <w:tc>
          <w:tcPr>
            <w:tcW w:type="dxa" w:w="1512"/>
            <w:tcMar>
              <w:top w:w="55" w:type="dxa"/>
              <w:start w:w="70" w:type="dxa"/>
              <w:bottom w:w="55" w:type="dxa"/>
              <w:end w:w="70" w:type="dxa"/>
            </w:tcMar>
            <w:vAlign w:val="center"/>
            <w:shd w:fill="F7F8F9"/>
          </w:tcPr>
          <w:p>
            <w:pPr>
              <w:jc w:val="center"/>
            </w:pPr>
            <w:r>
              <w:rPr>
                <w:sz w:val="14"/>
              </w:rPr>
              <w:t>Moderate</w:t>
            </w:r>
          </w:p>
        </w:tc>
        <w:tc>
          <w:tcPr>
            <w:tcW w:type="dxa" w:w="2981"/>
            <w:tcMar>
              <w:top w:w="55" w:type="dxa"/>
              <w:start w:w="70" w:type="dxa"/>
              <w:bottom w:w="55" w:type="dxa"/>
              <w:end w:w="70" w:type="dxa"/>
            </w:tcMar>
            <w:vAlign w:val="center"/>
            <w:shd w:fill="F7F8F9"/>
          </w:tcPr>
          <w:p>
            <w:r>
              <w:rPr>
                <w:sz w:val="14"/>
              </w:rPr>
              <w:t>Use delayed and unaided checks</w:t>
            </w:r>
          </w:p>
        </w:tc>
      </w:tr>
      <w:tr>
        <w:trPr>
          <w:cantSplit/>
        </w:trPr>
        <w:tc>
          <w:tcPr>
            <w:tcW w:type="dxa" w:w="2232"/>
            <w:tcMar>
              <w:top w:w="55" w:type="dxa"/>
              <w:start w:w="70" w:type="dxa"/>
              <w:bottom w:w="55" w:type="dxa"/>
              <w:end w:w="70" w:type="dxa"/>
            </w:tcMar>
            <w:vAlign w:val="center"/>
          </w:tcPr>
          <w:p>
            <w:r>
              <w:rPr>
                <w:b/>
                <w:sz w:val="14"/>
              </w:rPr>
              <w:t>Guardrailed tutoring</w:t>
            </w:r>
          </w:p>
        </w:tc>
        <w:tc>
          <w:tcPr>
            <w:tcW w:type="dxa" w:w="3672"/>
            <w:tcMar>
              <w:top w:w="55" w:type="dxa"/>
              <w:start w:w="70" w:type="dxa"/>
              <w:bottom w:w="55" w:type="dxa"/>
              <w:end w:w="70" w:type="dxa"/>
            </w:tcMar>
            <w:vAlign w:val="center"/>
          </w:tcPr>
          <w:p>
            <w:r>
              <w:rPr>
                <w:sz w:val="14"/>
              </w:rPr>
              <w:t>Stepwise or Socratic support is more promising than direct answers</w:t>
            </w:r>
          </w:p>
        </w:tc>
        <w:tc>
          <w:tcPr>
            <w:tcW w:type="dxa" w:w="1512"/>
            <w:tcMar>
              <w:top w:w="55" w:type="dxa"/>
              <w:start w:w="70" w:type="dxa"/>
              <w:bottom w:w="55" w:type="dxa"/>
              <w:end w:w="70" w:type="dxa"/>
            </w:tcMar>
            <w:vAlign w:val="center"/>
          </w:tcPr>
          <w:p>
            <w:pPr>
              <w:jc w:val="center"/>
            </w:pPr>
            <w:r>
              <w:rPr>
                <w:sz w:val="14"/>
              </w:rPr>
              <w:t>Moderate</w:t>
            </w:r>
          </w:p>
        </w:tc>
        <w:tc>
          <w:tcPr>
            <w:tcW w:type="dxa" w:w="2981"/>
            <w:tcMar>
              <w:top w:w="55" w:type="dxa"/>
              <w:start w:w="70" w:type="dxa"/>
              <w:bottom w:w="55" w:type="dxa"/>
              <w:end w:w="70" w:type="dxa"/>
            </w:tcMar>
            <w:vAlign w:val="center"/>
          </w:tcPr>
          <w:p>
            <w:r>
              <w:rPr>
                <w:sz w:val="14"/>
              </w:rPr>
              <w:t>Make the tool elicit reasoning and fade support</w:t>
            </w:r>
          </w:p>
        </w:tc>
      </w:tr>
      <w:tr>
        <w:trPr>
          <w:cantSplit/>
        </w:trPr>
        <w:tc>
          <w:tcPr>
            <w:tcW w:type="dxa" w:w="2232"/>
            <w:tcMar>
              <w:top w:w="55" w:type="dxa"/>
              <w:start w:w="70" w:type="dxa"/>
              <w:bottom w:w="55" w:type="dxa"/>
              <w:end w:w="70" w:type="dxa"/>
            </w:tcMar>
            <w:vAlign w:val="center"/>
            <w:shd w:fill="F7F8F9"/>
          </w:tcPr>
          <w:p>
            <w:r>
              <w:rPr>
                <w:b/>
                <w:sz w:val="14"/>
              </w:rPr>
              <w:t>Human educator support</w:t>
            </w:r>
          </w:p>
        </w:tc>
        <w:tc>
          <w:tcPr>
            <w:tcW w:type="dxa" w:w="3672"/>
            <w:tcMar>
              <w:top w:w="55" w:type="dxa"/>
              <w:start w:w="70" w:type="dxa"/>
              <w:bottom w:w="55" w:type="dxa"/>
              <w:end w:w="70" w:type="dxa"/>
            </w:tcMar>
            <w:vAlign w:val="center"/>
            <w:shd w:fill="F7F8F9"/>
          </w:tcPr>
          <w:p>
            <w:r>
              <w:rPr>
                <w:sz w:val="14"/>
              </w:rPr>
              <w:t>Real-time AI suggestions can improve tutor practice and student mastery</w:t>
            </w:r>
          </w:p>
        </w:tc>
        <w:tc>
          <w:tcPr>
            <w:tcW w:type="dxa" w:w="1512"/>
            <w:tcMar>
              <w:top w:w="55" w:type="dxa"/>
              <w:start w:w="70" w:type="dxa"/>
              <w:bottom w:w="55" w:type="dxa"/>
              <w:end w:w="70" w:type="dxa"/>
            </w:tcMar>
            <w:vAlign w:val="center"/>
            <w:shd w:fill="F7F8F9"/>
          </w:tcPr>
          <w:p>
            <w:pPr>
              <w:jc w:val="center"/>
            </w:pPr>
            <w:r>
              <w:rPr>
                <w:sz w:val="14"/>
              </w:rPr>
              <w:t>Moderate</w:t>
            </w:r>
          </w:p>
        </w:tc>
        <w:tc>
          <w:tcPr>
            <w:tcW w:type="dxa" w:w="2981"/>
            <w:tcMar>
              <w:top w:w="55" w:type="dxa"/>
              <w:start w:w="70" w:type="dxa"/>
              <w:bottom w:w="55" w:type="dxa"/>
              <w:end w:w="70" w:type="dxa"/>
            </w:tcMar>
            <w:vAlign w:val="center"/>
            <w:shd w:fill="F7F8F9"/>
          </w:tcPr>
          <w:p>
            <w:r>
              <w:rPr>
                <w:sz w:val="14"/>
              </w:rPr>
              <w:t>Use AI to strengthen human teaching, not remove it</w:t>
            </w:r>
          </w:p>
        </w:tc>
      </w:tr>
      <w:tr>
        <w:trPr>
          <w:cantSplit/>
        </w:trPr>
        <w:tc>
          <w:tcPr>
            <w:tcW w:type="dxa" w:w="2232"/>
            <w:tcMar>
              <w:top w:w="55" w:type="dxa"/>
              <w:start w:w="70" w:type="dxa"/>
              <w:bottom w:w="55" w:type="dxa"/>
              <w:end w:w="70" w:type="dxa"/>
            </w:tcMar>
            <w:vAlign w:val="center"/>
          </w:tcPr>
          <w:p>
            <w:r>
              <w:rPr>
                <w:b/>
                <w:sz w:val="14"/>
              </w:rPr>
              <w:t>Retrieval and memory</w:t>
            </w:r>
          </w:p>
        </w:tc>
        <w:tc>
          <w:tcPr>
            <w:tcW w:type="dxa" w:w="3672"/>
            <w:tcMar>
              <w:top w:w="55" w:type="dxa"/>
              <w:start w:w="70" w:type="dxa"/>
              <w:bottom w:w="55" w:type="dxa"/>
              <w:end w:w="70" w:type="dxa"/>
            </w:tcMar>
            <w:vAlign w:val="center"/>
          </w:tcPr>
          <w:p>
            <w:r>
              <w:rPr>
                <w:sz w:val="14"/>
              </w:rPr>
              <w:t>Producing an answer from memory improves later recall more than repeated study</w:t>
            </w:r>
          </w:p>
        </w:tc>
        <w:tc>
          <w:tcPr>
            <w:tcW w:type="dxa" w:w="1512"/>
            <w:tcMar>
              <w:top w:w="55" w:type="dxa"/>
              <w:start w:w="70" w:type="dxa"/>
              <w:bottom w:w="55" w:type="dxa"/>
              <w:end w:w="70" w:type="dxa"/>
            </w:tcMar>
            <w:vAlign w:val="center"/>
          </w:tcPr>
          <w:p>
            <w:pPr>
              <w:jc w:val="center"/>
            </w:pPr>
            <w:r>
              <w:rPr>
                <w:sz w:val="14"/>
              </w:rPr>
              <w:t>Strong</w:t>
            </w:r>
          </w:p>
        </w:tc>
        <w:tc>
          <w:tcPr>
            <w:tcW w:type="dxa" w:w="2981"/>
            <w:tcMar>
              <w:top w:w="55" w:type="dxa"/>
              <w:start w:w="70" w:type="dxa"/>
              <w:bottom w:w="55" w:type="dxa"/>
              <w:end w:w="70" w:type="dxa"/>
            </w:tcMar>
            <w:vAlign w:val="center"/>
          </w:tcPr>
          <w:p>
            <w:r>
              <w:rPr>
                <w:sz w:val="14"/>
              </w:rPr>
              <w:t>Require unaided recall and explanation</w:t>
            </w:r>
          </w:p>
        </w:tc>
      </w:tr>
      <w:tr>
        <w:trPr>
          <w:cantSplit/>
        </w:trPr>
        <w:tc>
          <w:tcPr>
            <w:tcW w:type="dxa" w:w="2232"/>
            <w:tcMar>
              <w:top w:w="55" w:type="dxa"/>
              <w:start w:w="70" w:type="dxa"/>
              <w:bottom w:w="55" w:type="dxa"/>
              <w:end w:w="70" w:type="dxa"/>
            </w:tcMar>
            <w:vAlign w:val="center"/>
            <w:shd w:fill="F7F8F9"/>
          </w:tcPr>
          <w:p>
            <w:r>
              <w:rPr>
                <w:b/>
                <w:sz w:val="14"/>
              </w:rPr>
              <w:t>Essay authorship</w:t>
            </w:r>
          </w:p>
        </w:tc>
        <w:tc>
          <w:tcPr>
            <w:tcW w:type="dxa" w:w="3672"/>
            <w:tcMar>
              <w:top w:w="55" w:type="dxa"/>
              <w:start w:w="70" w:type="dxa"/>
              <w:bottom w:w="55" w:type="dxa"/>
              <w:end w:w="70" w:type="dxa"/>
            </w:tcMar>
            <w:vAlign w:val="center"/>
            <w:shd w:fill="F7F8F9"/>
          </w:tcPr>
          <w:p>
            <w:r>
              <w:rPr>
                <w:sz w:val="14"/>
              </w:rPr>
              <w:t>One small preprint links LLM-first writing to weaker recall, ownership, and neural connectivity</w:t>
            </w:r>
          </w:p>
        </w:tc>
        <w:tc>
          <w:tcPr>
            <w:tcW w:type="dxa" w:w="1512"/>
            <w:tcMar>
              <w:top w:w="55" w:type="dxa"/>
              <w:start w:w="70" w:type="dxa"/>
              <w:bottom w:w="55" w:type="dxa"/>
              <w:end w:w="70" w:type="dxa"/>
            </w:tcMar>
            <w:vAlign w:val="center"/>
            <w:shd w:fill="F7F8F9"/>
          </w:tcPr>
          <w:p>
            <w:pPr>
              <w:jc w:val="center"/>
            </w:pPr>
            <w:r>
              <w:rPr>
                <w:sz w:val="14"/>
              </w:rPr>
              <w:t>Preliminary</w:t>
            </w:r>
          </w:p>
        </w:tc>
        <w:tc>
          <w:tcPr>
            <w:tcW w:type="dxa" w:w="2981"/>
            <w:tcMar>
              <w:top w:w="55" w:type="dxa"/>
              <w:start w:w="70" w:type="dxa"/>
              <w:bottom w:w="55" w:type="dxa"/>
              <w:end w:w="70" w:type="dxa"/>
            </w:tcMar>
            <w:vAlign w:val="center"/>
            <w:shd w:fill="F7F8F9"/>
          </w:tcPr>
          <w:p>
            <w:r>
              <w:rPr>
                <w:sz w:val="14"/>
              </w:rPr>
              <w:t>Protect first drafts and oral explanation; do not overstate the neuroscience</w:t>
            </w:r>
          </w:p>
        </w:tc>
      </w:tr>
      <w:tr>
        <w:trPr>
          <w:cantSplit/>
        </w:trPr>
        <w:tc>
          <w:tcPr>
            <w:tcW w:type="dxa" w:w="2232"/>
            <w:tcMar>
              <w:top w:w="55" w:type="dxa"/>
              <w:start w:w="70" w:type="dxa"/>
              <w:bottom w:w="55" w:type="dxa"/>
              <w:end w:w="70" w:type="dxa"/>
            </w:tcMar>
            <w:vAlign w:val="center"/>
          </w:tcPr>
          <w:p>
            <w:r>
              <w:rPr>
                <w:b/>
                <w:sz w:val="14"/>
              </w:rPr>
              <w:t>Integrity detection</w:t>
            </w:r>
          </w:p>
        </w:tc>
        <w:tc>
          <w:tcPr>
            <w:tcW w:type="dxa" w:w="3672"/>
            <w:tcMar>
              <w:top w:w="55" w:type="dxa"/>
              <w:start w:w="70" w:type="dxa"/>
              <w:bottom w:w="55" w:type="dxa"/>
              <w:end w:w="70" w:type="dxa"/>
            </w:tcMar>
            <w:vAlign w:val="center"/>
          </w:tcPr>
          <w:p>
            <w:r>
              <w:rPr>
                <w:sz w:val="14"/>
              </w:rPr>
              <w:t>Text detectors can be inaccurate, bypassed, and biased against non-native writers</w:t>
            </w:r>
          </w:p>
        </w:tc>
        <w:tc>
          <w:tcPr>
            <w:tcW w:type="dxa" w:w="1512"/>
            <w:tcMar>
              <w:top w:w="55" w:type="dxa"/>
              <w:start w:w="70" w:type="dxa"/>
              <w:bottom w:w="55" w:type="dxa"/>
              <w:end w:w="70" w:type="dxa"/>
            </w:tcMar>
            <w:vAlign w:val="center"/>
          </w:tcPr>
          <w:p>
            <w:pPr>
              <w:jc w:val="center"/>
            </w:pPr>
            <w:r>
              <w:rPr>
                <w:sz w:val="14"/>
              </w:rPr>
              <w:t>Moderate</w:t>
            </w:r>
          </w:p>
        </w:tc>
        <w:tc>
          <w:tcPr>
            <w:tcW w:type="dxa" w:w="2981"/>
            <w:tcMar>
              <w:top w:w="55" w:type="dxa"/>
              <w:start w:w="70" w:type="dxa"/>
              <w:bottom w:w="55" w:type="dxa"/>
              <w:end w:w="70" w:type="dxa"/>
            </w:tcMar>
            <w:vAlign w:val="center"/>
          </w:tcPr>
          <w:p>
            <w:r>
              <w:rPr>
                <w:sz w:val="14"/>
              </w:rPr>
              <w:t>Do not use a detector score as sole evidence</w:t>
            </w:r>
          </w:p>
        </w:tc>
      </w:tr>
      <w:tr>
        <w:trPr>
          <w:cantSplit/>
        </w:trPr>
        <w:tc>
          <w:tcPr>
            <w:tcW w:type="dxa" w:w="2232"/>
            <w:tcMar>
              <w:top w:w="55" w:type="dxa"/>
              <w:start w:w="70" w:type="dxa"/>
              <w:bottom w:w="55" w:type="dxa"/>
              <w:end w:w="70" w:type="dxa"/>
            </w:tcMar>
            <w:vAlign w:val="center"/>
            <w:shd w:fill="F7F8F9"/>
          </w:tcPr>
          <w:p>
            <w:r>
              <w:rPr>
                <w:b/>
                <w:sz w:val="14"/>
              </w:rPr>
              <w:t>Attention and wellness</w:t>
            </w:r>
          </w:p>
        </w:tc>
        <w:tc>
          <w:tcPr>
            <w:tcW w:type="dxa" w:w="3672"/>
            <w:tcMar>
              <w:top w:w="55" w:type="dxa"/>
              <w:start w:w="70" w:type="dxa"/>
              <w:bottom w:w="55" w:type="dxa"/>
              <w:end w:w="70" w:type="dxa"/>
            </w:tcMar>
            <w:vAlign w:val="center"/>
            <w:shd w:fill="F7F8F9"/>
          </w:tcPr>
          <w:p>
            <w:r>
              <w:rPr>
                <w:sz w:val="14"/>
              </w:rPr>
              <w:t>Direct causal evidence about student wellness and social development is sparse</w:t>
            </w:r>
          </w:p>
        </w:tc>
        <w:tc>
          <w:tcPr>
            <w:tcW w:type="dxa" w:w="1512"/>
            <w:tcMar>
              <w:top w:w="55" w:type="dxa"/>
              <w:start w:w="70" w:type="dxa"/>
              <w:bottom w:w="55" w:type="dxa"/>
              <w:end w:w="70" w:type="dxa"/>
            </w:tcMar>
            <w:vAlign w:val="center"/>
            <w:shd w:fill="F7F8F9"/>
          </w:tcPr>
          <w:p>
            <w:pPr>
              <w:jc w:val="center"/>
            </w:pPr>
            <w:r>
              <w:rPr>
                <w:sz w:val="14"/>
              </w:rPr>
              <w:t>Insufficient</w:t>
            </w:r>
          </w:p>
        </w:tc>
        <w:tc>
          <w:tcPr>
            <w:tcW w:type="dxa" w:w="2981"/>
            <w:tcMar>
              <w:top w:w="55" w:type="dxa"/>
              <w:start w:w="70" w:type="dxa"/>
              <w:bottom w:w="55" w:type="dxa"/>
              <w:end w:w="70" w:type="dxa"/>
            </w:tcMar>
            <w:vAlign w:val="center"/>
            <w:shd w:fill="F7F8F9"/>
          </w:tcPr>
          <w:p>
            <w:r>
              <w:rPr>
                <w:sz w:val="14"/>
              </w:rPr>
              <w:t>Measure sleep, distress, attention, belonging, and relationships separately</w:t>
            </w:r>
          </w:p>
        </w:tc>
      </w:tr>
      <w:tr>
        <w:trPr>
          <w:cantSplit/>
        </w:trPr>
        <w:tc>
          <w:tcPr>
            <w:tcW w:type="dxa" w:w="2232"/>
            <w:tcMar>
              <w:top w:w="55" w:type="dxa"/>
              <w:start w:w="70" w:type="dxa"/>
              <w:bottom w:w="55" w:type="dxa"/>
              <w:end w:w="70" w:type="dxa"/>
            </w:tcMar>
            <w:vAlign w:val="center"/>
          </w:tcPr>
          <w:p>
            <w:r>
              <w:rPr>
                <w:b/>
                <w:sz w:val="14"/>
              </w:rPr>
              <w:t>COVID and family context</w:t>
            </w:r>
          </w:p>
        </w:tc>
        <w:tc>
          <w:tcPr>
            <w:tcW w:type="dxa" w:w="3672"/>
            <w:tcMar>
              <w:top w:w="55" w:type="dxa"/>
              <w:start w:w="70" w:type="dxa"/>
              <w:bottom w:w="55" w:type="dxa"/>
              <w:end w:w="70" w:type="dxa"/>
            </w:tcMar>
            <w:vAlign w:val="center"/>
          </w:tcPr>
          <w:p>
            <w:r>
              <w:rPr>
                <w:sz w:val="14"/>
              </w:rPr>
              <w:t>Academic and mental-health disruption is documented, but trends also began before COVID</w:t>
            </w:r>
          </w:p>
        </w:tc>
        <w:tc>
          <w:tcPr>
            <w:tcW w:type="dxa" w:w="1512"/>
            <w:tcMar>
              <w:top w:w="55" w:type="dxa"/>
              <w:start w:w="70" w:type="dxa"/>
              <w:bottom w:w="55" w:type="dxa"/>
              <w:end w:w="70" w:type="dxa"/>
            </w:tcMar>
            <w:vAlign w:val="center"/>
          </w:tcPr>
          <w:p>
            <w:pPr>
              <w:jc w:val="center"/>
            </w:pPr>
            <w:r>
              <w:rPr>
                <w:sz w:val="14"/>
              </w:rPr>
              <w:t>Strong context</w:t>
            </w:r>
          </w:p>
        </w:tc>
        <w:tc>
          <w:tcPr>
            <w:tcW w:type="dxa" w:w="2981"/>
            <w:tcMar>
              <w:top w:w="55" w:type="dxa"/>
              <w:start w:w="70" w:type="dxa"/>
              <w:bottom w:w="55" w:type="dxa"/>
              <w:end w:w="70" w:type="dxa"/>
            </w:tcMar>
            <w:vAlign w:val="center"/>
          </w:tcPr>
          <w:p>
            <w:r>
              <w:rPr>
                <w:sz w:val="14"/>
              </w:rPr>
              <w:t>Use COVID exposure and support conditions as comparison variables, not universal explanations</w:t>
            </w:r>
          </w:p>
        </w:tc>
      </w:tr>
    </w:tbl>
    <w:p>
      <w:pPr>
        <w:spacing w:after="0"/>
      </w:pPr>
    </w:p>
    <w:p>
      <w:pPr>
        <w:pStyle w:val="Heading1"/>
      </w:pPr>
      <w:r>
        <w:t>What the 2026 evidence synthesis adds</w:t>
      </w:r>
    </w:p>
    <w:p>
      <w:r>
        <w:t>Stanford SCALE reviewed more than 800 papers relevant to AI in K–12 education and identified only 20 with causal evidence strong enough for its findings. None of the student-facing causal studies took place in a U.S. K–12 setting. Most evidence remains recent, narrow, and short term. The synthesis nevertheless found a recurring pattern: assisted performance usually improves, unaided transfer is mixed, pedagogical guardrails matter, and human mediation can improve results. It also found little causal evidence on equity, emotional development, relationships, or wellness. [1]</w:t>
      </w:r>
    </w:p>
    <w:p>
      <w:pPr>
        <w:pStyle w:val="Heading1"/>
      </w:pPr>
      <w:r>
        <w:t>Performance is not the same as learning</w:t>
      </w:r>
    </w:p>
    <w:p>
      <w:r>
        <w:t>Bastani and colleagues randomly provided nearly 1,000 high-school mathematics students with either a standard GPT-4 interface, a tutoring version designed to protect learning, or no AI. During practice, grades rose 48 percent with the standard interface and 127 percent with the guarded tutor. When AI was removed, the standard interface group scored 17 percent lower than students who never had access. The guarded tutor largely avoided that loss. This is direct evidence that a better assisted product can conceal weaker independent learning. [2]</w:t>
      </w:r>
    </w:p>
    <w:p>
      <w:r>
        <w:t>The study supports three requirements: separate assisted practice from unaided assessment; configure AI to prompt steps rather than return complete answers; and test whether students can transfer the skill after support is removed. It does not establish the same effect in every subject, age group, or AI system.</w:t>
      </w:r>
    </w:p>
    <w:p>
      <w:pPr>
        <w:pStyle w:val="Heading1"/>
      </w:pPr>
      <w:r>
        <w:t>Purpose-built tutoring can improve learning</w:t>
      </w:r>
    </w:p>
    <w:p>
      <w:r>
        <w:t>A peer-reviewed crossover experiment in a Harvard college physics course found that students using a custom AI tutor learned more in less time than students receiving an in-class active-learning lesson on the same material. Students also reported greater engagement and motivation. The tutor was deliberately built around established pedagogical practices, so the result should not be generalized to an ordinary chatbot or an entire course. [3]</w:t>
      </w:r>
    </w:p>
    <w:p>
      <w:r>
        <w:t>Tutor CoPilot provides a different model. In a randomized field trial, AI supplied real-time instructional suggestions to human tutors serving students from underserved communities. Students were 4 percentage points more likely to master lesson topics; gains reached 9 points for students assigned to lower-rated tutors. Message analysis showed more probing questions and less generic praise. The study is a working paper, but its field scale and randomized design make it important evidence for using AI to strengthen human instruction. [4]</w:t>
      </w:r>
    </w:p>
    <w:p>
      <w:pPr>
        <w:pStyle w:val="Heading1"/>
      </w:pPr>
      <w:r>
        <w:t>Cognitive offloading and memory</w:t>
      </w:r>
    </w:p>
    <w:p>
      <w:r>
        <w:t>Cognitive offloading means using an external action or tool to reduce the mental work required by a task. Offloading is not inherently harmful. Notes, calculators, search engines, and AI can free limited attention for higher-order work. The risk arises when the tool performs the retrieval, representation, or reasoning that the student is supposed to learn. A major review describes offloading as a strategy shaped by task demands and by people’s beliefs about their own memory. [5]</w:t>
      </w:r>
    </w:p>
    <w:p>
      <w:r>
        <w:t>Earlier experiments found that people remember less of information they expect a computer to store, while remembering where to find it. This “Google effect” concerns transactive memory and does not prove that internet use or AI causes broad cognitive decline. It does show that expected access changes what people encode. [6]</w:t>
      </w:r>
    </w:p>
    <w:p>
      <w:r>
        <w:t>Retrieval practice supplies a stronger educational anchor. In a controlled vocabulary-learning experiment, repeated testing after initial learning produced substantially better delayed recall than repeated study, while students’ predictions did not track their actual performance. [7] AI policies should therefore preserve regular opportunities to produce answers, explanations, and arguments from memory without assistance.</w:t>
      </w:r>
    </w:p>
    <w:p>
      <w:pPr>
        <w:pStyle w:val="Heading1"/>
      </w:pPr>
      <w:r>
        <w:t>Writing and authorship</w:t>
      </w:r>
    </w:p>
    <w:p>
      <w:r>
        <w:t>The most discussed direct study of LLM-assisted essay writing remains preliminary. The MIT Media Lab preprint assigned 54 participants to LLM, search-engine, or no-tool conditions for three sessions; 18 completed a fourth crossover session. The LLM group showed the weakest measured EEG connectivity, the lowest self-reported ownership, and poorer ability to quote its own essays. The authors describe the work as a preprint with a small, geographically limited sample and warn against generalizing beyond the essay task or the tested system. [8]</w:t>
      </w:r>
    </w:p>
    <w:p>
      <w:r>
        <w:t>The study justifies testing recall, ownership, and process when AI participates in writing. It does not justify claims that AI makes students less intelligent or permanently changes the brain. A defensible course design protects direct reading, an unaided conception or first draft, source checking, revision decisions, and a brief oral account of the argument.</w:t>
      </w:r>
    </w:p>
    <w:p>
      <w:pPr>
        <w:pStyle w:val="Heading1"/>
      </w:pPr>
      <w:r>
        <w:t>Academic integrity and reliable verification</w:t>
      </w:r>
    </w:p>
    <w:p>
      <w:pPr>
        <w:keepLines/>
      </w:pPr>
      <w:r>
        <w:t>Authorship cannot be inferred safely from a detector score. Liang and colleagues tested several GPT detectors and found that they frequently misclassified writing by non-native English writers while classifying native English writing more accurately; simple prompting could also bypass detection. [9] The appropriate response is assessment design and evidence of process, followed by fair human review when concerns arise.</w:t>
      </w:r>
    </w:p>
    <w:p>
      <w:pPr>
        <w:pStyle w:val="ListBullet"/>
      </w:pPr>
      <w:r>
        <w:t>Require a short disclosure of the tools used, the permitted purpose, and the student’s decisions.</w:t>
      </w:r>
    </w:p>
    <w:p>
      <w:pPr>
        <w:pStyle w:val="ListBullet"/>
      </w:pPr>
      <w:r>
        <w:t>Retain drafts, notes, code history, calculations, or source annotations when these reveal the learning process.</w:t>
      </w:r>
    </w:p>
    <w:p>
      <w:pPr>
        <w:pStyle w:val="ListBullet"/>
      </w:pPr>
      <w:r>
        <w:t>Use an oral explanation, supervised problem, or independent revision to verify understanding.</w:t>
      </w:r>
    </w:p>
    <w:p>
      <w:pPr>
        <w:pStyle w:val="ListBullet"/>
      </w:pPr>
      <w:r>
        <w:t>Treat automated detection as a lead requiring corroboration, never as the sole basis for a penalty.</w:t>
      </w:r>
    </w:p>
    <w:p>
      <w:pPr>
        <w:pStyle w:val="Heading1"/>
      </w:pPr>
      <w:r>
        <w:t>Attention, relationships, and wellness</w:t>
      </w:r>
    </w:p>
    <w:p>
      <w:r>
        <w:t>Mental fitness is not a single clinical measure. For this project it should be treated as a defined set of educational capacities: sustained attention, recall, tolerance of productive difficulty, explanation, judgment, self-regulation, responsibility, and healthy participation with other people. Each capacity needs its own measure.</w:t>
      </w:r>
    </w:p>
    <w:p>
      <w:r>
        <w:t>Current causal AI research says little about long-term attention, anxiety, depression, sleep, belonging, loneliness, family relationships, or prosocial development. Stanford’s 2026 synthesis identifies these as major evidence gaps. [1] Schools should not label convenience, satisfaction, or engagement as mental fitness. They should measure whether AI use changes these outcomes and whether effects differ by age, disability, language, prior achievement, family support, or existing distress.</w:t>
      </w:r>
    </w:p>
    <w:p>
      <w:pPr>
        <w:pStyle w:val="Heading1"/>
      </w:pPr>
      <w:r>
        <w:t>Mental fitness across time</w:t>
      </w:r>
    </w:p>
    <w:p>
      <w:r>
        <w:t>A historical comparison is useful if it compares equivalent measures and separates overlapping causes. It should not compare a nostalgic description of the past with a broad impression of the present. The most useful design uses repeated indicators such as reading and mathematics performance, attendance, sleep, distress, school connectedness, sustained attention, and independent task performance.</w:t>
      </w:r>
    </w:p>
    <w:p>
      <w:r>
        <w:t>CDC data show that adolescent mental-health indicators were worsening before the COVID-19 pandemic. In 2023, 39.7 percent of U.S. high-school students reported persistent sadness or hopelessness and 28.5 percent reported poor mental health. Some measures improved slightly from 2021 to 2023, while ten-year trends remained concerning. These surveillance data document prevalence and associations; they do not identify AI or COVID as the single cause. [10]</w:t>
      </w:r>
    </w:p>
    <w:p>
      <w:r>
        <w:t>The same rule applies to academic performance. National data show both a large pandemic-era shock and longer declines that began before 2020. In 2024, average fourth-grade mathematics performance improved from 2022 but remained below 2019. The Education Scorecard reports substantial variation in recovery and identifies chronic absenteeism as an ongoing constraint. [11] [12] A valid comparison must therefore model pre-pandemic trend, pandemic disruption, recovery conditions, and later AI exposure separately.</w:t>
      </w:r>
    </w:p>
    <w:p>
      <w:pPr>
        <w:pStyle w:val="Heading1"/>
      </w:pPr>
      <w:r>
        <w:t>COVID, school closure, and family conditions</w:t>
      </w:r>
    </w:p>
    <w:p>
      <w:r>
        <w:t>COVID-19 must be an explicit part of this investigation. School closures moved responsibility for instruction, technology, scheduling, and supervision into homes with sharply unequal resources. Students experienced different combinations of live teaching, emergency remote instruction, independent work, interrupted services, and little or no effective instruction. A single “online learning” category would erase these differences.</w:t>
      </w:r>
    </w:p>
    <w:p>
      <w:r>
        <w:t>CDC’s 2021 pandemic survey found that 37 percent of high-school students reported poor mental health during the pandemic, 55 percent reported emotional abuse by a parent or other adult in the home, and 29 percent reported an adult in the household losing a job. The survey also states that mental health had been worsening before the pandemic. [13] These findings support measuring family stress and support; they do not establish that closure caused every reported condition.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cantSplit/>
          <w:tblHeader w:val="true"/>
        </w:trPr>
        <w:tc>
          <w:tcPr>
            <w:tcW w:type="dxa" w:w="2520"/>
            <w:shd w:fill="173A52"/>
            <w:tcMar>
              <w:top w:w="65" w:type="dxa"/>
              <w:start w:w="80" w:type="dxa"/>
              <w:bottom w:w="65" w:type="dxa"/>
              <w:end w:w="80" w:type="dxa"/>
            </w:tcMar>
            <w:vAlign w:val="center"/>
          </w:tcPr>
          <w:p>
            <w:r>
              <w:rPr>
                <w:b/>
                <w:color w:val="FFFFFF"/>
                <w:sz w:val="15"/>
              </w:rPr>
              <w:t>Comparison factor</w:t>
            </w:r>
          </w:p>
        </w:tc>
        <w:tc>
          <w:tcPr>
            <w:tcW w:type="dxa" w:w="3960"/>
            <w:shd w:fill="173A52"/>
            <w:tcMar>
              <w:top w:w="65" w:type="dxa"/>
              <w:start w:w="80" w:type="dxa"/>
              <w:bottom w:w="65" w:type="dxa"/>
              <w:end w:w="80" w:type="dxa"/>
            </w:tcMar>
            <w:vAlign w:val="center"/>
          </w:tcPr>
          <w:p>
            <w:r>
              <w:rPr>
                <w:b/>
                <w:color w:val="FFFFFF"/>
                <w:sz w:val="15"/>
              </w:rPr>
              <w:t>Minimum evidence to collect</w:t>
            </w:r>
          </w:p>
        </w:tc>
        <w:tc>
          <w:tcPr>
            <w:tcW w:type="dxa" w:w="3917"/>
            <w:shd w:fill="173A52"/>
            <w:tcMar>
              <w:top w:w="65" w:type="dxa"/>
              <w:start w:w="80" w:type="dxa"/>
              <w:bottom w:w="65" w:type="dxa"/>
              <w:end w:w="80" w:type="dxa"/>
            </w:tcMar>
            <w:vAlign w:val="center"/>
          </w:tcPr>
          <w:p>
            <w:r>
              <w:rPr>
                <w:b/>
                <w:color w:val="FFFFFF"/>
                <w:sz w:val="15"/>
              </w:rPr>
              <w:t>Why it matters</w:t>
            </w:r>
          </w:p>
        </w:tc>
      </w:tr>
      <w:tr>
        <w:trPr>
          <w:cantSplit/>
        </w:trPr>
        <w:tc>
          <w:tcPr>
            <w:tcW w:type="dxa" w:w="2520"/>
            <w:tcMar>
              <w:top w:w="55" w:type="dxa"/>
              <w:start w:w="70" w:type="dxa"/>
              <w:bottom w:w="55" w:type="dxa"/>
              <w:end w:w="70" w:type="dxa"/>
            </w:tcMar>
            <w:vAlign w:val="center"/>
          </w:tcPr>
          <w:p>
            <w:r>
              <w:rPr>
                <w:b/>
                <w:sz w:val="15"/>
              </w:rPr>
              <w:t>Instructional disruption</w:t>
            </w:r>
          </w:p>
        </w:tc>
        <w:tc>
          <w:tcPr>
            <w:tcW w:type="dxa" w:w="3960"/>
            <w:tcMar>
              <w:top w:w="55" w:type="dxa"/>
              <w:start w:w="70" w:type="dxa"/>
              <w:bottom w:w="55" w:type="dxa"/>
              <w:end w:w="70" w:type="dxa"/>
            </w:tcMar>
            <w:vAlign w:val="center"/>
          </w:tcPr>
          <w:p>
            <w:r>
              <w:rPr>
                <w:sz w:val="15"/>
              </w:rPr>
              <w:t>Closure duration, attendance, synchronous contact, assignment completion, access to services</w:t>
            </w:r>
          </w:p>
        </w:tc>
        <w:tc>
          <w:tcPr>
            <w:tcW w:type="dxa" w:w="3917"/>
            <w:tcMar>
              <w:top w:w="55" w:type="dxa"/>
              <w:start w:w="70" w:type="dxa"/>
              <w:bottom w:w="55" w:type="dxa"/>
              <w:end w:w="70" w:type="dxa"/>
            </w:tcMar>
            <w:vAlign w:val="center"/>
          </w:tcPr>
          <w:p>
            <w:r>
              <w:rPr>
                <w:sz w:val="15"/>
              </w:rPr>
              <w:t>Separates formal enrollment from actual instruction</w:t>
            </w:r>
          </w:p>
        </w:tc>
      </w:tr>
      <w:tr>
        <w:trPr>
          <w:cantSplit/>
        </w:trPr>
        <w:tc>
          <w:tcPr>
            <w:tcW w:type="dxa" w:w="2520"/>
            <w:tcMar>
              <w:top w:w="55" w:type="dxa"/>
              <w:start w:w="70" w:type="dxa"/>
              <w:bottom w:w="55" w:type="dxa"/>
              <w:end w:w="70" w:type="dxa"/>
            </w:tcMar>
            <w:vAlign w:val="center"/>
            <w:shd w:fill="F7F8F9"/>
          </w:tcPr>
          <w:p>
            <w:r>
              <w:rPr>
                <w:b/>
                <w:sz w:val="15"/>
              </w:rPr>
              <w:t>Home learning capacity</w:t>
            </w:r>
          </w:p>
        </w:tc>
        <w:tc>
          <w:tcPr>
            <w:tcW w:type="dxa" w:w="3960"/>
            <w:tcMar>
              <w:top w:w="55" w:type="dxa"/>
              <w:start w:w="70" w:type="dxa"/>
              <w:bottom w:w="55" w:type="dxa"/>
              <w:end w:w="70" w:type="dxa"/>
            </w:tcMar>
            <w:vAlign w:val="center"/>
            <w:shd w:fill="F7F8F9"/>
          </w:tcPr>
          <w:p>
            <w:r>
              <w:rPr>
                <w:sz w:val="15"/>
              </w:rPr>
              <w:t>Device and internet access, adult time, workspace, language, caregiving duties</w:t>
            </w:r>
          </w:p>
        </w:tc>
        <w:tc>
          <w:tcPr>
            <w:tcW w:type="dxa" w:w="3917"/>
            <w:tcMar>
              <w:top w:w="55" w:type="dxa"/>
              <w:start w:w="70" w:type="dxa"/>
              <w:bottom w:w="55" w:type="dxa"/>
              <w:end w:w="70" w:type="dxa"/>
            </w:tcMar>
            <w:vAlign w:val="center"/>
            <w:shd w:fill="F7F8F9"/>
          </w:tcPr>
          <w:p>
            <w:r>
              <w:rPr>
                <w:sz w:val="15"/>
              </w:rPr>
              <w:t>Explains unequal ability to sustain learning</w:t>
            </w:r>
          </w:p>
        </w:tc>
      </w:tr>
      <w:tr>
        <w:trPr>
          <w:cantSplit/>
        </w:trPr>
        <w:tc>
          <w:tcPr>
            <w:tcW w:type="dxa" w:w="2520"/>
            <w:tcMar>
              <w:top w:w="55" w:type="dxa"/>
              <w:start w:w="70" w:type="dxa"/>
              <w:bottom w:w="55" w:type="dxa"/>
              <w:end w:w="70" w:type="dxa"/>
            </w:tcMar>
            <w:vAlign w:val="center"/>
          </w:tcPr>
          <w:p>
            <w:r>
              <w:rPr>
                <w:b/>
                <w:sz w:val="15"/>
              </w:rPr>
              <w:t>Family and peer support</w:t>
            </w:r>
          </w:p>
        </w:tc>
        <w:tc>
          <w:tcPr>
            <w:tcW w:type="dxa" w:w="3960"/>
            <w:tcMar>
              <w:top w:w="55" w:type="dxa"/>
              <w:start w:w="70" w:type="dxa"/>
              <w:bottom w:w="55" w:type="dxa"/>
              <w:end w:w="70" w:type="dxa"/>
            </w:tcMar>
            <w:vAlign w:val="center"/>
          </w:tcPr>
          <w:p>
            <w:r>
              <w:rPr>
                <w:sz w:val="15"/>
              </w:rPr>
              <w:t>Household stress, adult support, friendship contact, school connectedness</w:t>
            </w:r>
          </w:p>
        </w:tc>
        <w:tc>
          <w:tcPr>
            <w:tcW w:type="dxa" w:w="3917"/>
            <w:tcMar>
              <w:top w:w="55" w:type="dxa"/>
              <w:start w:w="70" w:type="dxa"/>
              <w:bottom w:w="55" w:type="dxa"/>
              <w:end w:w="70" w:type="dxa"/>
            </w:tcMar>
            <w:vAlign w:val="center"/>
          </w:tcPr>
          <w:p>
            <w:r>
              <w:rPr>
                <w:sz w:val="15"/>
              </w:rPr>
              <w:t>Tests whether relationships buffered or intensified disruption</w:t>
            </w:r>
          </w:p>
        </w:tc>
      </w:tr>
      <w:tr>
        <w:trPr>
          <w:cantSplit/>
        </w:trPr>
        <w:tc>
          <w:tcPr>
            <w:tcW w:type="dxa" w:w="2520"/>
            <w:tcMar>
              <w:top w:w="55" w:type="dxa"/>
              <w:start w:w="70" w:type="dxa"/>
              <w:bottom w:w="55" w:type="dxa"/>
              <w:end w:w="70" w:type="dxa"/>
            </w:tcMar>
            <w:vAlign w:val="center"/>
            <w:shd w:fill="F7F8F9"/>
          </w:tcPr>
          <w:p>
            <w:r>
              <w:rPr>
                <w:b/>
                <w:sz w:val="15"/>
              </w:rPr>
              <w:t>Prior condition</w:t>
            </w:r>
          </w:p>
        </w:tc>
        <w:tc>
          <w:tcPr>
            <w:tcW w:type="dxa" w:w="3960"/>
            <w:tcMar>
              <w:top w:w="55" w:type="dxa"/>
              <w:start w:w="70" w:type="dxa"/>
              <w:bottom w:w="55" w:type="dxa"/>
              <w:end w:w="70" w:type="dxa"/>
            </w:tcMar>
            <w:vAlign w:val="center"/>
            <w:shd w:fill="F7F8F9"/>
          </w:tcPr>
          <w:p>
            <w:r>
              <w:rPr>
                <w:sz w:val="15"/>
              </w:rPr>
              <w:t>Pre-2020 achievement, attendance, disability, mental-health indicators</w:t>
            </w:r>
          </w:p>
        </w:tc>
        <w:tc>
          <w:tcPr>
            <w:tcW w:type="dxa" w:w="3917"/>
            <w:tcMar>
              <w:top w:w="55" w:type="dxa"/>
              <w:start w:w="70" w:type="dxa"/>
              <w:bottom w:w="55" w:type="dxa"/>
              <w:end w:w="70" w:type="dxa"/>
            </w:tcMar>
            <w:vAlign w:val="center"/>
            <w:shd w:fill="F7F8F9"/>
          </w:tcPr>
          <w:p>
            <w:r>
              <w:rPr>
                <w:sz w:val="15"/>
              </w:rPr>
              <w:t>Prevents attributing an earlier trend to COVID or AI</w:t>
            </w:r>
          </w:p>
        </w:tc>
      </w:tr>
      <w:tr>
        <w:trPr>
          <w:cantSplit/>
        </w:trPr>
        <w:tc>
          <w:tcPr>
            <w:tcW w:type="dxa" w:w="2520"/>
            <w:tcMar>
              <w:top w:w="55" w:type="dxa"/>
              <w:start w:w="70" w:type="dxa"/>
              <w:bottom w:w="55" w:type="dxa"/>
              <w:end w:w="70" w:type="dxa"/>
            </w:tcMar>
            <w:vAlign w:val="center"/>
          </w:tcPr>
          <w:p>
            <w:r>
              <w:rPr>
                <w:b/>
                <w:sz w:val="15"/>
              </w:rPr>
              <w:t>AI exposure</w:t>
            </w:r>
          </w:p>
        </w:tc>
        <w:tc>
          <w:tcPr>
            <w:tcW w:type="dxa" w:w="3960"/>
            <w:tcMar>
              <w:top w:w="55" w:type="dxa"/>
              <w:start w:w="70" w:type="dxa"/>
              <w:bottom w:w="55" w:type="dxa"/>
              <w:end w:w="70" w:type="dxa"/>
            </w:tcMar>
            <w:vAlign w:val="center"/>
          </w:tcPr>
          <w:p>
            <w:r>
              <w:rPr>
                <w:sz w:val="15"/>
              </w:rPr>
              <w:t>Tool, purpose, frequency, timing, guardrails, human supervision</w:t>
            </w:r>
          </w:p>
        </w:tc>
        <w:tc>
          <w:tcPr>
            <w:tcW w:type="dxa" w:w="3917"/>
            <w:tcMar>
              <w:top w:w="55" w:type="dxa"/>
              <w:start w:w="70" w:type="dxa"/>
              <w:bottom w:w="55" w:type="dxa"/>
              <w:end w:w="70" w:type="dxa"/>
            </w:tcMar>
            <w:vAlign w:val="center"/>
          </w:tcPr>
          <w:p>
            <w:r>
              <w:rPr>
                <w:sz w:val="15"/>
              </w:rPr>
              <w:t>Distinguishes tutoring from answer generation or companionship</w:t>
            </w:r>
          </w:p>
        </w:tc>
      </w:tr>
      <w:tr>
        <w:trPr>
          <w:cantSplit/>
        </w:trPr>
        <w:tc>
          <w:tcPr>
            <w:tcW w:type="dxa" w:w="2520"/>
            <w:tcMar>
              <w:top w:w="55" w:type="dxa"/>
              <w:start w:w="70" w:type="dxa"/>
              <w:bottom w:w="55" w:type="dxa"/>
              <w:end w:w="70" w:type="dxa"/>
            </w:tcMar>
            <w:vAlign w:val="center"/>
            <w:shd w:fill="F7F8F9"/>
          </w:tcPr>
          <w:p>
            <w:r>
              <w:rPr>
                <w:b/>
                <w:sz w:val="15"/>
              </w:rPr>
              <w:t>Later outcome</w:t>
            </w:r>
          </w:p>
        </w:tc>
        <w:tc>
          <w:tcPr>
            <w:tcW w:type="dxa" w:w="3960"/>
            <w:tcMar>
              <w:top w:w="55" w:type="dxa"/>
              <w:start w:w="70" w:type="dxa"/>
              <w:bottom w:w="55" w:type="dxa"/>
              <w:end w:w="70" w:type="dxa"/>
            </w:tcMar>
            <w:vAlign w:val="center"/>
            <w:shd w:fill="F7F8F9"/>
          </w:tcPr>
          <w:p>
            <w:r>
              <w:rPr>
                <w:sz w:val="15"/>
              </w:rPr>
              <w:t>Unaided performance, delayed retention, attention, sleep, distress, belonging, help-seeking</w:t>
            </w:r>
          </w:p>
        </w:tc>
        <w:tc>
          <w:tcPr>
            <w:tcW w:type="dxa" w:w="3917"/>
            <w:tcMar>
              <w:top w:w="55" w:type="dxa"/>
              <w:start w:w="70" w:type="dxa"/>
              <w:bottom w:w="55" w:type="dxa"/>
              <w:end w:w="70" w:type="dxa"/>
            </w:tcMar>
            <w:vAlign w:val="center"/>
            <w:shd w:fill="F7F8F9"/>
          </w:tcPr>
          <w:p>
            <w:r>
              <w:rPr>
                <w:sz w:val="15"/>
              </w:rPr>
              <w:t>Measures formation and wellness rather than task completion</w:t>
            </w:r>
          </w:p>
        </w:tc>
      </w:tr>
    </w:tbl>
    <w:p>
      <w:pPr>
        <w:spacing w:after="0"/>
      </w:pPr>
    </w:p>
    <w:p>
      <w:pPr>
        <w:pStyle w:val="Heading1"/>
      </w:pPr>
      <w:r>
        <w:t>What can and cannot be concluded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cantSplit/>
          <w:tblHeader w:val="true"/>
        </w:trPr>
        <w:tc>
          <w:tcPr>
            <w:tcW w:type="dxa" w:w="5198"/>
            <w:shd w:fill="173A52"/>
            <w:tcMar>
              <w:top w:w="65" w:type="dxa"/>
              <w:start w:w="80" w:type="dxa"/>
              <w:bottom w:w="65" w:type="dxa"/>
              <w:end w:w="80" w:type="dxa"/>
            </w:tcMar>
            <w:vAlign w:val="center"/>
          </w:tcPr>
          <w:p>
            <w:r>
              <w:rPr>
                <w:b/>
                <w:color w:val="FFFFFF"/>
                <w:sz w:val="16"/>
              </w:rPr>
              <w:t>Supported conclusion</w:t>
            </w:r>
          </w:p>
        </w:tc>
        <w:tc>
          <w:tcPr>
            <w:tcW w:type="dxa" w:w="5198"/>
            <w:shd w:fill="173A52"/>
            <w:tcMar>
              <w:top w:w="65" w:type="dxa"/>
              <w:start w:w="80" w:type="dxa"/>
              <w:bottom w:w="65" w:type="dxa"/>
              <w:end w:w="80" w:type="dxa"/>
            </w:tcMar>
            <w:vAlign w:val="center"/>
          </w:tcPr>
          <w:p>
            <w:r>
              <w:rPr>
                <w:b/>
                <w:color w:val="FFFFFF"/>
                <w:sz w:val="16"/>
              </w:rPr>
              <w:t>Unsupported conclusion</w:t>
            </w:r>
          </w:p>
        </w:tc>
      </w:tr>
      <w:tr>
        <w:trPr>
          <w:cantSplit/>
        </w:trPr>
        <w:tc>
          <w:tcPr>
            <w:tcW w:type="dxa" w:w="5198"/>
            <w:tcMar>
              <w:top w:w="55" w:type="dxa"/>
              <w:start w:w="70" w:type="dxa"/>
              <w:bottom w:w="55" w:type="dxa"/>
              <w:end w:w="70" w:type="dxa"/>
            </w:tcMar>
            <w:vAlign w:val="center"/>
          </w:tcPr>
          <w:p>
            <w:r>
              <w:rPr>
                <w:b/>
                <w:sz w:val="16"/>
              </w:rPr>
              <w:t>Unguarded AI can improve practice work and still reduce later unaided performance in a tested math setting.</w:t>
            </w:r>
          </w:p>
        </w:tc>
        <w:tc>
          <w:tcPr>
            <w:tcW w:type="dxa" w:w="5198"/>
            <w:tcMar>
              <w:top w:w="55" w:type="dxa"/>
              <w:start w:w="70" w:type="dxa"/>
              <w:bottom w:w="55" w:type="dxa"/>
              <w:end w:w="70" w:type="dxa"/>
            </w:tcMar>
            <w:vAlign w:val="center"/>
          </w:tcPr>
          <w:p>
            <w:r>
              <w:rPr>
                <w:sz w:val="16"/>
              </w:rPr>
              <w:t>All AI use weakens learning or memory.</w:t>
            </w:r>
          </w:p>
        </w:tc>
      </w:tr>
      <w:tr>
        <w:trPr>
          <w:cantSplit/>
        </w:trPr>
        <w:tc>
          <w:tcPr>
            <w:tcW w:type="dxa" w:w="5198"/>
            <w:tcMar>
              <w:top w:w="55" w:type="dxa"/>
              <w:start w:w="70" w:type="dxa"/>
              <w:bottom w:w="55" w:type="dxa"/>
              <w:end w:w="70" w:type="dxa"/>
            </w:tcMar>
            <w:vAlign w:val="center"/>
            <w:shd w:fill="F7F8F9"/>
          </w:tcPr>
          <w:p>
            <w:r>
              <w:rPr>
                <w:b/>
                <w:sz w:val="16"/>
              </w:rPr>
              <w:t>Purpose-built tutoring and AI support for human tutors can improve learning in tested settings.</w:t>
            </w:r>
          </w:p>
        </w:tc>
        <w:tc>
          <w:tcPr>
            <w:tcW w:type="dxa" w:w="5198"/>
            <w:tcMar>
              <w:top w:w="55" w:type="dxa"/>
              <w:start w:w="70" w:type="dxa"/>
              <w:bottom w:w="55" w:type="dxa"/>
              <w:end w:w="70" w:type="dxa"/>
            </w:tcMar>
            <w:vAlign w:val="center"/>
            <w:shd w:fill="F7F8F9"/>
          </w:tcPr>
          <w:p>
            <w:r>
              <w:rPr>
                <w:sz w:val="16"/>
              </w:rPr>
              <w:t>An AI tutor can replace teachers, peers, or family support.</w:t>
            </w:r>
          </w:p>
        </w:tc>
      </w:tr>
      <w:tr>
        <w:trPr>
          <w:cantSplit/>
        </w:trPr>
        <w:tc>
          <w:tcPr>
            <w:tcW w:type="dxa" w:w="5198"/>
            <w:tcMar>
              <w:top w:w="55" w:type="dxa"/>
              <w:start w:w="70" w:type="dxa"/>
              <w:bottom w:w="55" w:type="dxa"/>
              <w:end w:w="70" w:type="dxa"/>
            </w:tcMar>
            <w:vAlign w:val="center"/>
          </w:tcPr>
          <w:p>
            <w:r>
              <w:rPr>
                <w:b/>
                <w:sz w:val="16"/>
              </w:rPr>
              <w:t>Retrieval and independent production are important for durable learning.</w:t>
            </w:r>
          </w:p>
        </w:tc>
        <w:tc>
          <w:tcPr>
            <w:tcW w:type="dxa" w:w="5198"/>
            <w:tcMar>
              <w:top w:w="55" w:type="dxa"/>
              <w:start w:w="70" w:type="dxa"/>
              <w:bottom w:w="55" w:type="dxa"/>
              <w:end w:w="70" w:type="dxa"/>
            </w:tcMar>
            <w:vAlign w:val="center"/>
          </w:tcPr>
          <w:p>
            <w:r>
              <w:rPr>
                <w:sz w:val="16"/>
              </w:rPr>
              <w:t>Every reduction in effort is harmful.</w:t>
            </w:r>
          </w:p>
        </w:tc>
      </w:tr>
      <w:tr>
        <w:trPr>
          <w:cantSplit/>
        </w:trPr>
        <w:tc>
          <w:tcPr>
            <w:tcW w:type="dxa" w:w="5198"/>
            <w:tcMar>
              <w:top w:w="55" w:type="dxa"/>
              <w:start w:w="70" w:type="dxa"/>
              <w:bottom w:w="55" w:type="dxa"/>
              <w:end w:w="70" w:type="dxa"/>
            </w:tcMar>
            <w:vAlign w:val="center"/>
            <w:shd w:fill="F7F8F9"/>
          </w:tcPr>
          <w:p>
            <w:r>
              <w:rPr>
                <w:b/>
                <w:sz w:val="16"/>
              </w:rPr>
              <w:t>Student distress and academic disruption are serious and historically patterned.</w:t>
            </w:r>
          </w:p>
        </w:tc>
        <w:tc>
          <w:tcPr>
            <w:tcW w:type="dxa" w:w="5198"/>
            <w:tcMar>
              <w:top w:w="55" w:type="dxa"/>
              <w:start w:w="70" w:type="dxa"/>
              <w:bottom w:w="55" w:type="dxa"/>
              <w:end w:w="70" w:type="dxa"/>
            </w:tcMar>
            <w:vAlign w:val="center"/>
            <w:shd w:fill="F7F8F9"/>
          </w:tcPr>
          <w:p>
            <w:r>
              <w:rPr>
                <w:sz w:val="16"/>
              </w:rPr>
              <w:t>COVID, social media, or AI alone explains present mental fitness.</w:t>
            </w:r>
          </w:p>
        </w:tc>
      </w:tr>
      <w:tr>
        <w:trPr>
          <w:cantSplit/>
        </w:trPr>
        <w:tc>
          <w:tcPr>
            <w:tcW w:type="dxa" w:w="5198"/>
            <w:tcMar>
              <w:top w:w="55" w:type="dxa"/>
              <w:start w:w="70" w:type="dxa"/>
              <w:bottom w:w="55" w:type="dxa"/>
              <w:end w:w="70" w:type="dxa"/>
            </w:tcMar>
            <w:vAlign w:val="center"/>
          </w:tcPr>
          <w:p>
            <w:r>
              <w:rPr>
                <w:b/>
                <w:sz w:val="16"/>
              </w:rPr>
              <w:t>Detector errors and bias require corroborating evidence and due process.</w:t>
            </w:r>
          </w:p>
        </w:tc>
        <w:tc>
          <w:tcPr>
            <w:tcW w:type="dxa" w:w="5198"/>
            <w:tcMar>
              <w:top w:w="55" w:type="dxa"/>
              <w:start w:w="70" w:type="dxa"/>
              <w:bottom w:w="55" w:type="dxa"/>
              <w:end w:w="70" w:type="dxa"/>
            </w:tcMar>
            <w:vAlign w:val="center"/>
          </w:tcPr>
          <w:p>
            <w:r>
              <w:rPr>
                <w:sz w:val="16"/>
              </w:rPr>
              <w:t>A detector score proves misconduct.</w:t>
            </w:r>
          </w:p>
        </w:tc>
      </w:tr>
    </w:tbl>
    <w:p>
      <w:pPr>
        <w:spacing w:after="0"/>
      </w:pPr>
    </w:p>
    <w:p>
      <w:pPr>
        <w:pStyle w:val="Heading1"/>
      </w:pPr>
      <w:r>
        <w:t>Evidence grading of Phase Three course practices</w:t>
      </w:r>
    </w:p>
    <w:p>
      <w:r>
        <w:t>These ratings evaluate the research support for each design feature, not the quality of an instructor or the measured success of a course. Phase Three found no public causal outcome evaluation for any sampled course.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cantSplit/>
          <w:tblHeader w:val="true"/>
        </w:trPr>
        <w:tc>
          <w:tcPr>
            <w:tcW w:type="dxa" w:w="2376"/>
            <w:shd w:fill="173A52"/>
            <w:tcMar>
              <w:top w:w="65" w:type="dxa"/>
              <w:start w:w="80" w:type="dxa"/>
              <w:bottom w:w="65" w:type="dxa"/>
              <w:end w:w="80" w:type="dxa"/>
            </w:tcMar>
            <w:vAlign w:val="center"/>
          </w:tcPr>
          <w:p>
            <w:r>
              <w:rPr>
                <w:b/>
                <w:color w:val="FFFFFF"/>
                <w:sz w:val="14"/>
              </w:rPr>
              <w:t>Course practice</w:t>
            </w:r>
          </w:p>
        </w:tc>
        <w:tc>
          <w:tcPr>
            <w:tcW w:type="dxa" w:w="3773"/>
            <w:shd w:fill="173A52"/>
            <w:tcMar>
              <w:top w:w="65" w:type="dxa"/>
              <w:start w:w="80" w:type="dxa"/>
              <w:bottom w:w="65" w:type="dxa"/>
              <w:end w:w="80" w:type="dxa"/>
            </w:tcMar>
            <w:vAlign w:val="center"/>
          </w:tcPr>
          <w:p>
            <w:r>
              <w:rPr>
                <w:b/>
                <w:color w:val="FFFFFF"/>
                <w:sz w:val="14"/>
              </w:rPr>
              <w:t>Research fit</w:t>
            </w:r>
          </w:p>
        </w:tc>
        <w:tc>
          <w:tcPr>
            <w:tcW w:type="dxa" w:w="1512"/>
            <w:shd w:fill="173A52"/>
            <w:tcMar>
              <w:top w:w="65" w:type="dxa"/>
              <w:start w:w="80" w:type="dxa"/>
              <w:bottom w:w="65" w:type="dxa"/>
              <w:end w:w="80" w:type="dxa"/>
            </w:tcMar>
            <w:vAlign w:val="center"/>
          </w:tcPr>
          <w:p>
            <w:r>
              <w:rPr>
                <w:b/>
                <w:color w:val="FFFFFF"/>
                <w:sz w:val="14"/>
              </w:rPr>
              <w:t>Rating</w:t>
            </w:r>
          </w:p>
        </w:tc>
        <w:tc>
          <w:tcPr>
            <w:tcW w:type="dxa" w:w="2736"/>
            <w:shd w:fill="173A52"/>
            <w:tcMar>
              <w:top w:w="65" w:type="dxa"/>
              <w:start w:w="80" w:type="dxa"/>
              <w:bottom w:w="65" w:type="dxa"/>
              <w:end w:w="80" w:type="dxa"/>
            </w:tcMar>
            <w:vAlign w:val="center"/>
          </w:tcPr>
          <w:p>
            <w:r>
              <w:rPr>
                <w:b/>
                <w:color w:val="FFFFFF"/>
                <w:sz w:val="14"/>
              </w:rPr>
              <w:t>What remains to be measured</w:t>
            </w:r>
          </w:p>
        </w:tc>
      </w:tr>
      <w:tr>
        <w:trPr>
          <w:cantSplit/>
        </w:trPr>
        <w:tc>
          <w:tcPr>
            <w:tcW w:type="dxa" w:w="2376"/>
            <w:tcMar>
              <w:top w:w="55" w:type="dxa"/>
              <w:start w:w="70" w:type="dxa"/>
              <w:bottom w:w="55" w:type="dxa"/>
              <w:end w:w="70" w:type="dxa"/>
            </w:tcMar>
            <w:vAlign w:val="center"/>
          </w:tcPr>
          <w:p>
            <w:r>
              <w:rPr>
                <w:b/>
                <w:sz w:val="14"/>
              </w:rPr>
              <w:t>Berkeley SLAVIC 134E</w:t>
            </w:r>
          </w:p>
        </w:tc>
        <w:tc>
          <w:tcPr>
            <w:tcW w:type="dxa" w:w="3773"/>
            <w:tcMar>
              <w:top w:w="55" w:type="dxa"/>
              <w:start w:w="70" w:type="dxa"/>
              <w:bottom w:w="55" w:type="dxa"/>
              <w:end w:w="70" w:type="dxa"/>
            </w:tcMar>
            <w:vAlign w:val="center"/>
          </w:tcPr>
          <w:p>
            <w:r>
              <w:rPr>
                <w:sz w:val="14"/>
              </w:rPr>
              <w:t>Protecting unaided reading, interpretation, and writing is consistent with retrieval and authorship evidence</w:t>
            </w:r>
          </w:p>
        </w:tc>
        <w:tc>
          <w:tcPr>
            <w:tcW w:type="dxa" w:w="1512"/>
            <w:tcMar>
              <w:top w:w="55" w:type="dxa"/>
              <w:start w:w="70" w:type="dxa"/>
              <w:bottom w:w="55" w:type="dxa"/>
              <w:end w:w="70" w:type="dxa"/>
            </w:tcMar>
            <w:vAlign w:val="center"/>
          </w:tcPr>
          <w:p>
            <w:pPr>
              <w:jc w:val="center"/>
            </w:pPr>
            <w:r>
              <w:rPr>
                <w:sz w:val="14"/>
              </w:rPr>
              <w:t>Moderate</w:t>
            </w:r>
          </w:p>
        </w:tc>
        <w:tc>
          <w:tcPr>
            <w:tcW w:type="dxa" w:w="2736"/>
            <w:tcMar>
              <w:top w:w="55" w:type="dxa"/>
              <w:start w:w="70" w:type="dxa"/>
              <w:bottom w:w="55" w:type="dxa"/>
              <w:end w:w="70" w:type="dxa"/>
            </w:tcMar>
            <w:vAlign w:val="center"/>
          </w:tcPr>
          <w:p>
            <w:r>
              <w:rPr>
                <w:sz w:val="14"/>
              </w:rPr>
              <w:t>Delayed recall, writing quality, voice, compliance, and student burden</w:t>
            </w:r>
          </w:p>
        </w:tc>
      </w:tr>
      <w:tr>
        <w:trPr>
          <w:cantSplit/>
        </w:trPr>
        <w:tc>
          <w:tcPr>
            <w:tcW w:type="dxa" w:w="2376"/>
            <w:tcMar>
              <w:top w:w="55" w:type="dxa"/>
              <w:start w:w="70" w:type="dxa"/>
              <w:bottom w:w="55" w:type="dxa"/>
              <w:end w:w="70" w:type="dxa"/>
            </w:tcMar>
            <w:vAlign w:val="center"/>
            <w:shd w:fill="F7F8F9"/>
          </w:tcPr>
          <w:p>
            <w:r>
              <w:rPr>
                <w:b/>
                <w:sz w:val="14"/>
              </w:rPr>
              <w:t>Berkeley Stat 20</w:t>
            </w:r>
          </w:p>
        </w:tc>
        <w:tc>
          <w:tcPr>
            <w:tcW w:type="dxa" w:w="3773"/>
            <w:tcMar>
              <w:top w:w="55" w:type="dxa"/>
              <w:start w:w="70" w:type="dxa"/>
              <w:bottom w:w="55" w:type="dxa"/>
              <w:end w:w="70" w:type="dxa"/>
            </w:tcMar>
            <w:vAlign w:val="center"/>
            <w:shd w:fill="F7F8F9"/>
          </w:tcPr>
          <w:p>
            <w:r>
              <w:rPr>
                <w:sz w:val="14"/>
              </w:rPr>
              <w:t>First attempts, explanation-focused AI, verification, quizzes, and a final directly match guardrail and transfer findings</w:t>
            </w:r>
          </w:p>
        </w:tc>
        <w:tc>
          <w:tcPr>
            <w:tcW w:type="dxa" w:w="1512"/>
            <w:tcMar>
              <w:top w:w="55" w:type="dxa"/>
              <w:start w:w="70" w:type="dxa"/>
              <w:bottom w:w="55" w:type="dxa"/>
              <w:end w:w="70" w:type="dxa"/>
            </w:tcMar>
            <w:vAlign w:val="center"/>
            <w:shd w:fill="F7F8F9"/>
          </w:tcPr>
          <w:p>
            <w:pPr>
              <w:jc w:val="center"/>
            </w:pPr>
            <w:r>
              <w:rPr>
                <w:sz w:val="14"/>
              </w:rPr>
              <w:t>Strong</w:t>
            </w:r>
          </w:p>
        </w:tc>
        <w:tc>
          <w:tcPr>
            <w:tcW w:type="dxa" w:w="2736"/>
            <w:tcMar>
              <w:top w:w="55" w:type="dxa"/>
              <w:start w:w="70" w:type="dxa"/>
              <w:bottom w:w="55" w:type="dxa"/>
              <w:end w:w="70" w:type="dxa"/>
            </w:tcMar>
            <w:vAlign w:val="center"/>
            <w:shd w:fill="F7F8F9"/>
          </w:tcPr>
          <w:p>
            <w:r>
              <w:rPr>
                <w:sz w:val="14"/>
              </w:rPr>
              <w:t>Section-level learning, delayed retention, anxiety, and subgroup effects</w:t>
            </w:r>
          </w:p>
        </w:tc>
      </w:tr>
      <w:tr>
        <w:trPr>
          <w:cantSplit/>
        </w:trPr>
        <w:tc>
          <w:tcPr>
            <w:tcW w:type="dxa" w:w="2376"/>
            <w:tcMar>
              <w:top w:w="55" w:type="dxa"/>
              <w:start w:w="70" w:type="dxa"/>
              <w:bottom w:w="55" w:type="dxa"/>
              <w:end w:w="70" w:type="dxa"/>
            </w:tcMar>
            <w:vAlign w:val="center"/>
          </w:tcPr>
          <w:p>
            <w:r>
              <w:rPr>
                <w:b/>
                <w:sz w:val="14"/>
              </w:rPr>
              <w:t>Berkeley Stat 133</w:t>
            </w:r>
          </w:p>
        </w:tc>
        <w:tc>
          <w:tcPr>
            <w:tcW w:type="dxa" w:w="3773"/>
            <w:tcMar>
              <w:top w:w="55" w:type="dxa"/>
              <w:start w:w="70" w:type="dxa"/>
              <w:bottom w:w="55" w:type="dxa"/>
              <w:end w:w="70" w:type="dxa"/>
            </w:tcMar>
            <w:vAlign w:val="center"/>
          </w:tcPr>
          <w:p>
            <w:r>
              <w:rPr>
                <w:sz w:val="14"/>
              </w:rPr>
              <w:t>Foundations before AI plus paper exams and oral studios protect mental models and independent explanation</w:t>
            </w:r>
          </w:p>
        </w:tc>
        <w:tc>
          <w:tcPr>
            <w:tcW w:type="dxa" w:w="1512"/>
            <w:tcMar>
              <w:top w:w="55" w:type="dxa"/>
              <w:start w:w="70" w:type="dxa"/>
              <w:bottom w:w="55" w:type="dxa"/>
              <w:end w:w="70" w:type="dxa"/>
            </w:tcMar>
            <w:vAlign w:val="center"/>
          </w:tcPr>
          <w:p>
            <w:pPr>
              <w:jc w:val="center"/>
            </w:pPr>
            <w:r>
              <w:rPr>
                <w:sz w:val="14"/>
              </w:rPr>
              <w:t>Strong</w:t>
            </w:r>
          </w:p>
        </w:tc>
        <w:tc>
          <w:tcPr>
            <w:tcW w:type="dxa" w:w="2736"/>
            <w:tcMar>
              <w:top w:w="55" w:type="dxa"/>
              <w:start w:w="70" w:type="dxa"/>
              <w:bottom w:w="55" w:type="dxa"/>
              <w:end w:w="70" w:type="dxa"/>
            </w:tcMar>
            <w:vAlign w:val="center"/>
          </w:tcPr>
          <w:p>
            <w:r>
              <w:rPr>
                <w:sz w:val="14"/>
              </w:rPr>
              <w:t>Before-after learning, coding transfer, workload, and integrity</w:t>
            </w:r>
          </w:p>
        </w:tc>
      </w:tr>
      <w:tr>
        <w:trPr>
          <w:cantSplit/>
        </w:trPr>
        <w:tc>
          <w:tcPr>
            <w:tcW w:type="dxa" w:w="2376"/>
            <w:tcMar>
              <w:top w:w="55" w:type="dxa"/>
              <w:start w:w="70" w:type="dxa"/>
              <w:bottom w:w="55" w:type="dxa"/>
              <w:end w:w="70" w:type="dxa"/>
            </w:tcMar>
            <w:vAlign w:val="center"/>
            <w:shd w:fill="F7F8F9"/>
          </w:tcPr>
          <w:p>
            <w:r>
              <w:rPr>
                <w:b/>
                <w:sz w:val="14"/>
              </w:rPr>
              <w:t>Berkeley CS 184 284A</w:t>
            </w:r>
          </w:p>
        </w:tc>
        <w:tc>
          <w:tcPr>
            <w:tcW w:type="dxa" w:w="3773"/>
            <w:tcMar>
              <w:top w:w="55" w:type="dxa"/>
              <w:start w:w="70" w:type="dxa"/>
              <w:bottom w:w="55" w:type="dxa"/>
              <w:end w:w="70" w:type="dxa"/>
            </w:tcMar>
            <w:vAlign w:val="center"/>
            <w:shd w:fill="F7F8F9"/>
          </w:tcPr>
          <w:p>
            <w:r>
              <w:rPr>
                <w:sz w:val="14"/>
              </w:rPr>
              <w:t>AI coaching is plausible, but broad production use creates substitution risk unless process and individual mastery are visible</w:t>
            </w:r>
          </w:p>
        </w:tc>
        <w:tc>
          <w:tcPr>
            <w:tcW w:type="dxa" w:w="1512"/>
            <w:tcMar>
              <w:top w:w="55" w:type="dxa"/>
              <w:start w:w="70" w:type="dxa"/>
              <w:bottom w:w="55" w:type="dxa"/>
              <w:end w:w="70" w:type="dxa"/>
            </w:tcMar>
            <w:vAlign w:val="center"/>
            <w:shd w:fill="F7F8F9"/>
          </w:tcPr>
          <w:p>
            <w:pPr>
              <w:jc w:val="center"/>
            </w:pPr>
            <w:r>
              <w:rPr>
                <w:sz w:val="14"/>
              </w:rPr>
              <w:t>Preliminary</w:t>
            </w:r>
          </w:p>
        </w:tc>
        <w:tc>
          <w:tcPr>
            <w:tcW w:type="dxa" w:w="2736"/>
            <w:tcMar>
              <w:top w:w="55" w:type="dxa"/>
              <w:start w:w="70" w:type="dxa"/>
              <w:bottom w:w="55" w:type="dxa"/>
              <w:end w:w="70" w:type="dxa"/>
            </w:tcMar>
            <w:vAlign w:val="center"/>
            <w:shd w:fill="F7F8F9"/>
          </w:tcPr>
          <w:p>
            <w:r>
              <w:rPr>
                <w:sz w:val="14"/>
              </w:rPr>
              <w:t>Unaided coding, contribution records, oral defense, originality, and retention</w:t>
            </w:r>
          </w:p>
        </w:tc>
      </w:tr>
      <w:tr>
        <w:trPr>
          <w:cantSplit/>
        </w:trPr>
        <w:tc>
          <w:tcPr>
            <w:tcW w:type="dxa" w:w="2376"/>
            <w:tcMar>
              <w:top w:w="55" w:type="dxa"/>
              <w:start w:w="70" w:type="dxa"/>
              <w:bottom w:w="55" w:type="dxa"/>
              <w:end w:w="70" w:type="dxa"/>
            </w:tcMar>
            <w:vAlign w:val="center"/>
          </w:tcPr>
          <w:p>
            <w:r>
              <w:rPr>
                <w:b/>
                <w:sz w:val="14"/>
              </w:rPr>
              <w:t>Stanford PWR 1</w:t>
            </w:r>
          </w:p>
        </w:tc>
        <w:tc>
          <w:tcPr>
            <w:tcW w:type="dxa" w:w="3773"/>
            <w:tcMar>
              <w:top w:w="55" w:type="dxa"/>
              <w:start w:w="70" w:type="dxa"/>
              <w:bottom w:w="55" w:type="dxa"/>
              <w:end w:w="70" w:type="dxa"/>
            </w:tcMar>
            <w:vAlign w:val="center"/>
          </w:tcPr>
          <w:p>
            <w:r>
              <w:rPr>
                <w:sz w:val="14"/>
              </w:rPr>
              <w:t>Direct reading and original prose align with authorship and retrieval principles; direct LLM-writing evidence remains early</w:t>
            </w:r>
          </w:p>
        </w:tc>
        <w:tc>
          <w:tcPr>
            <w:tcW w:type="dxa" w:w="1512"/>
            <w:tcMar>
              <w:top w:w="55" w:type="dxa"/>
              <w:start w:w="70" w:type="dxa"/>
              <w:bottom w:w="55" w:type="dxa"/>
              <w:end w:w="70" w:type="dxa"/>
            </w:tcMar>
            <w:vAlign w:val="center"/>
          </w:tcPr>
          <w:p>
            <w:pPr>
              <w:jc w:val="center"/>
            </w:pPr>
            <w:r>
              <w:rPr>
                <w:sz w:val="14"/>
              </w:rPr>
              <w:t>Moderate</w:t>
            </w:r>
          </w:p>
        </w:tc>
        <w:tc>
          <w:tcPr>
            <w:tcW w:type="dxa" w:w="2736"/>
            <w:tcMar>
              <w:top w:w="55" w:type="dxa"/>
              <w:start w:w="70" w:type="dxa"/>
              <w:bottom w:w="55" w:type="dxa"/>
              <w:end w:w="70" w:type="dxa"/>
            </w:tcMar>
            <w:vAlign w:val="center"/>
          </w:tcPr>
          <w:p>
            <w:r>
              <w:rPr>
                <w:sz w:val="14"/>
              </w:rPr>
              <w:t>Writing development, recall, ownership, empathy, and workload</w:t>
            </w:r>
          </w:p>
        </w:tc>
      </w:tr>
      <w:tr>
        <w:trPr>
          <w:cantSplit/>
        </w:trPr>
        <w:tc>
          <w:tcPr>
            <w:tcW w:type="dxa" w:w="2376"/>
            <w:tcMar>
              <w:top w:w="55" w:type="dxa"/>
              <w:start w:w="70" w:type="dxa"/>
              <w:bottom w:w="55" w:type="dxa"/>
              <w:end w:w="70" w:type="dxa"/>
            </w:tcMar>
            <w:vAlign w:val="center"/>
            <w:shd w:fill="F7F8F9"/>
          </w:tcPr>
          <w:p>
            <w:r>
              <w:rPr>
                <w:b/>
                <w:sz w:val="14"/>
              </w:rPr>
              <w:t>Stanford CS 389</w:t>
            </w:r>
          </w:p>
        </w:tc>
        <w:tc>
          <w:tcPr>
            <w:tcW w:type="dxa" w:w="3773"/>
            <w:tcMar>
              <w:top w:w="55" w:type="dxa"/>
              <w:start w:w="70" w:type="dxa"/>
              <w:bottom w:w="55" w:type="dxa"/>
              <w:end w:w="70" w:type="dxa"/>
            </w:tcMar>
            <w:vAlign w:val="center"/>
            <w:shd w:fill="F7F8F9"/>
          </w:tcPr>
          <w:p>
            <w:r>
              <w:rPr>
                <w:sz w:val="14"/>
              </w:rPr>
              <w:t>Task-specific rules protect review and synthesis while allowing coding support; staged milestones make reasoning visible</w:t>
            </w:r>
          </w:p>
        </w:tc>
        <w:tc>
          <w:tcPr>
            <w:tcW w:type="dxa" w:w="1512"/>
            <w:tcMar>
              <w:top w:w="55" w:type="dxa"/>
              <w:start w:w="70" w:type="dxa"/>
              <w:bottom w:w="55" w:type="dxa"/>
              <w:end w:w="70" w:type="dxa"/>
            </w:tcMar>
            <w:vAlign w:val="center"/>
            <w:shd w:fill="F7F8F9"/>
          </w:tcPr>
          <w:p>
            <w:pPr>
              <w:jc w:val="center"/>
            </w:pPr>
            <w:r>
              <w:rPr>
                <w:sz w:val="14"/>
              </w:rPr>
              <w:t>Moderate</w:t>
            </w:r>
          </w:p>
        </w:tc>
        <w:tc>
          <w:tcPr>
            <w:tcW w:type="dxa" w:w="2736"/>
            <w:tcMar>
              <w:top w:w="55" w:type="dxa"/>
              <w:start w:w="70" w:type="dxa"/>
              <w:bottom w:w="55" w:type="dxa"/>
              <w:end w:w="70" w:type="dxa"/>
            </w:tcMar>
            <w:vAlign w:val="center"/>
            <w:shd w:fill="F7F8F9"/>
          </w:tcPr>
          <w:p>
            <w:r>
              <w:rPr>
                <w:sz w:val="14"/>
              </w:rPr>
              <w:t>Independent synthesis, technical transfer, and effects by AI use</w:t>
            </w:r>
          </w:p>
        </w:tc>
      </w:tr>
      <w:tr>
        <w:trPr>
          <w:cantSplit/>
        </w:trPr>
        <w:tc>
          <w:tcPr>
            <w:tcW w:type="dxa" w:w="2376"/>
            <w:tcMar>
              <w:top w:w="55" w:type="dxa"/>
              <w:start w:w="70" w:type="dxa"/>
              <w:bottom w:w="55" w:type="dxa"/>
              <w:end w:w="70" w:type="dxa"/>
            </w:tcMar>
            <w:vAlign w:val="center"/>
          </w:tcPr>
          <w:p>
            <w:r>
              <w:rPr>
                <w:b/>
                <w:sz w:val="14"/>
              </w:rPr>
              <w:t>Stanford COLLEGE 102</w:t>
            </w:r>
          </w:p>
        </w:tc>
        <w:tc>
          <w:tcPr>
            <w:tcW w:type="dxa" w:w="3773"/>
            <w:tcMar>
              <w:top w:w="55" w:type="dxa"/>
              <w:start w:w="70" w:type="dxa"/>
              <w:bottom w:w="55" w:type="dxa"/>
              <w:end w:w="70" w:type="dxa"/>
            </w:tcMar>
            <w:vAlign w:val="center"/>
          </w:tcPr>
          <w:p>
            <w:r>
              <w:rPr>
                <w:sz w:val="14"/>
              </w:rPr>
              <w:t>Deliberation, peer review, voting, presentation, and understanding checks support visible civic reasoning</w:t>
            </w:r>
          </w:p>
        </w:tc>
        <w:tc>
          <w:tcPr>
            <w:tcW w:type="dxa" w:w="1512"/>
            <w:tcMar>
              <w:top w:w="55" w:type="dxa"/>
              <w:start w:w="70" w:type="dxa"/>
              <w:bottom w:w="55" w:type="dxa"/>
              <w:end w:w="70" w:type="dxa"/>
            </w:tcMar>
            <w:vAlign w:val="center"/>
          </w:tcPr>
          <w:p>
            <w:pPr>
              <w:jc w:val="center"/>
            </w:pPr>
            <w:r>
              <w:rPr>
                <w:sz w:val="14"/>
              </w:rPr>
              <w:t>Moderate</w:t>
            </w:r>
          </w:p>
        </w:tc>
        <w:tc>
          <w:tcPr>
            <w:tcW w:type="dxa" w:w="2736"/>
            <w:tcMar>
              <w:top w:w="55" w:type="dxa"/>
              <w:start w:w="70" w:type="dxa"/>
              <w:bottom w:w="55" w:type="dxa"/>
              <w:end w:w="70" w:type="dxa"/>
            </w:tcMar>
            <w:vAlign w:val="center"/>
          </w:tcPr>
          <w:p>
            <w:r>
              <w:rPr>
                <w:sz w:val="14"/>
              </w:rPr>
              <w:t>Individual learning, transfer, belonging, anxiety, and durability</w:t>
            </w:r>
          </w:p>
        </w:tc>
      </w:tr>
      <w:tr>
        <w:trPr>
          <w:cantSplit/>
        </w:trPr>
        <w:tc>
          <w:tcPr>
            <w:tcW w:type="dxa" w:w="2376"/>
            <w:tcMar>
              <w:top w:w="55" w:type="dxa"/>
              <w:start w:w="70" w:type="dxa"/>
              <w:bottom w:w="55" w:type="dxa"/>
              <w:end w:w="70" w:type="dxa"/>
            </w:tcMar>
            <w:vAlign w:val="center"/>
            <w:shd w:fill="F7F8F9"/>
          </w:tcPr>
          <w:p>
            <w:r>
              <w:rPr>
                <w:b/>
                <w:sz w:val="14"/>
              </w:rPr>
              <w:t>AI for Human Flourishing</w:t>
            </w:r>
          </w:p>
        </w:tc>
        <w:tc>
          <w:tcPr>
            <w:tcW w:type="dxa" w:w="3773"/>
            <w:tcMar>
              <w:top w:w="55" w:type="dxa"/>
              <w:start w:w="70" w:type="dxa"/>
              <w:bottom w:w="55" w:type="dxa"/>
              <w:end w:w="70" w:type="dxa"/>
            </w:tcMar>
            <w:vAlign w:val="center"/>
            <w:shd w:fill="F7F8F9"/>
          </w:tcPr>
          <w:p>
            <w:r>
              <w:rPr>
                <w:sz w:val="14"/>
              </w:rPr>
              <w:t>Building plus reflection and live conversation is promising, but reported engagement and attention are descriptive</w:t>
            </w:r>
          </w:p>
        </w:tc>
        <w:tc>
          <w:tcPr>
            <w:tcW w:type="dxa" w:w="1512"/>
            <w:tcMar>
              <w:top w:w="55" w:type="dxa"/>
              <w:start w:w="70" w:type="dxa"/>
              <w:bottom w:w="55" w:type="dxa"/>
              <w:end w:w="70" w:type="dxa"/>
            </w:tcMar>
            <w:vAlign w:val="center"/>
            <w:shd w:fill="F7F8F9"/>
          </w:tcPr>
          <w:p>
            <w:pPr>
              <w:jc w:val="center"/>
            </w:pPr>
            <w:r>
              <w:rPr>
                <w:sz w:val="14"/>
              </w:rPr>
              <w:t>Preliminary</w:t>
            </w:r>
          </w:p>
        </w:tc>
        <w:tc>
          <w:tcPr>
            <w:tcW w:type="dxa" w:w="2736"/>
            <w:tcMar>
              <w:top w:w="55" w:type="dxa"/>
              <w:start w:w="70" w:type="dxa"/>
              <w:bottom w:w="55" w:type="dxa"/>
              <w:end w:w="70" w:type="dxa"/>
            </w:tcMar>
            <w:vAlign w:val="center"/>
            <w:shd w:fill="F7F8F9"/>
          </w:tcPr>
          <w:p>
            <w:r>
              <w:rPr>
                <w:sz w:val="14"/>
              </w:rPr>
              <w:t>Validated purpose, attention, wellness, relationship, and follow-up measures</w:t>
            </w:r>
          </w:p>
        </w:tc>
      </w:tr>
    </w:tbl>
    <w:p>
      <w:pPr>
        <w:spacing w:after="0"/>
      </w:pPr>
    </w:p>
    <w:p>
      <w:pPr>
        <w:pStyle w:val="Heading1"/>
      </w:pPr>
      <w:r>
        <w:t>Interpretation of the course ratings</w:t>
      </w:r>
    </w:p>
    <w:p>
      <w:pPr>
        <w:pStyle w:val="ListBullet"/>
      </w:pPr>
      <w:r>
        <w:t>Stat 20 and Stat 133 receive the strongest ratings because their policies combine boundaries with independent assessment. The rating concerns design logic, not published course outcomes.</w:t>
      </w:r>
    </w:p>
    <w:p>
      <w:pPr>
        <w:pStyle w:val="ListBullet"/>
      </w:pPr>
      <w:r>
        <w:t>Writing and humanities restrictions have credible theoretical support, but direct long-term experiments comparing specific AI rules remain limited.</w:t>
      </w:r>
    </w:p>
    <w:p>
      <w:pPr>
        <w:pStyle w:val="ListBullet"/>
      </w:pPr>
      <w:r>
        <w:t>Permissive AI use can be educationally defensible when students already have foundations and must explain decisions. The evidence is weak when the final product is the only proof of competence.</w:t>
      </w:r>
    </w:p>
    <w:p>
      <w:pPr>
        <w:pStyle w:val="ListBullet"/>
      </w:pPr>
      <w:r>
        <w:t>Courses centered on citizenship or flourishing address important human purposes, but participation, enthusiasm, and a successful event are not validated measures of judgment or wellness.</w:t>
      </w:r>
    </w:p>
    <w:p>
      <w:pPr>
        <w:pStyle w:val="Heading1"/>
      </w:pPr>
      <w:r>
        <w:t>Application across California institutions</w:t>
      </w:r>
    </w:p>
    <w:p>
      <w:r>
        <w:t>The same evidence standard can be used across California public schools, community colleges, CSU and UC campuses, private universities, independent schools, and home-based programs. It should not assume that the same rule fits every institution. Age, subject, student preparation, disability services, language, family role, residential life, and available human support can change both the benefit and the risk.</w:t>
      </w:r>
    </w:p>
    <w:p>
      <w:r>
        <w:t>For Thomas Aquinas College and Mother of Divine Grace, the next institutional comparison should examine whether close reading, memorization, written composition, seminar or oral discussion, tutorial feedback, family participation, and technology limits are documented in current practice. Their stated educational philosophies are relevant, but they should be classified as institutional claims until implementation and outcomes are verified. Public and private institutions should be held to the same distinction.</w:t>
      </w:r>
    </w:p>
    <w:p>
      <w:pPr>
        <w:pStyle w:val="Heading1"/>
      </w:pPr>
      <w:r>
        <w:t>Research program that should be conducted</w:t>
      </w:r>
    </w:p>
    <w:p>
      <w:r>
        <w:t>A useful investigation should compare specific educational designs rather than ask whether AI is good or bad. It should follow students long enough to distinguish assisted performance from independent capacity.</w:t>
      </w:r>
    </w:p>
    <w:p>
      <w:pPr>
        <w:pStyle w:val="Heading2"/>
      </w:pPr>
      <w:r>
        <w:t>Core comparison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cantSplit/>
          <w:tblHeader w:val="true"/>
        </w:trPr>
        <w:tc>
          <w:tcPr>
            <w:tcW w:type="dxa" w:w="2520"/>
            <w:shd w:fill="173A52"/>
            <w:tcMar>
              <w:top w:w="65" w:type="dxa"/>
              <w:start w:w="80" w:type="dxa"/>
              <w:bottom w:w="65" w:type="dxa"/>
              <w:end w:w="80" w:type="dxa"/>
            </w:tcMar>
            <w:vAlign w:val="center"/>
          </w:tcPr>
          <w:p>
            <w:r>
              <w:rPr>
                <w:b/>
                <w:color w:val="FFFFFF"/>
                <w:sz w:val="16"/>
              </w:rPr>
              <w:t>Condition</w:t>
            </w:r>
          </w:p>
        </w:tc>
        <w:tc>
          <w:tcPr>
            <w:tcW w:type="dxa" w:w="7877"/>
            <w:shd w:fill="173A52"/>
            <w:tcMar>
              <w:top w:w="65" w:type="dxa"/>
              <w:start w:w="80" w:type="dxa"/>
              <w:bottom w:w="65" w:type="dxa"/>
              <w:end w:w="80" w:type="dxa"/>
            </w:tcMar>
            <w:vAlign w:val="center"/>
          </w:tcPr>
          <w:p>
            <w:r>
              <w:rPr>
                <w:b/>
                <w:color w:val="FFFFFF"/>
                <w:sz w:val="16"/>
              </w:rPr>
              <w:t>Required design</w:t>
            </w:r>
          </w:p>
        </w:tc>
      </w:tr>
      <w:tr>
        <w:trPr>
          <w:cantSplit/>
        </w:trPr>
        <w:tc>
          <w:tcPr>
            <w:tcW w:type="dxa" w:w="2520"/>
            <w:tcMar>
              <w:top w:w="55" w:type="dxa"/>
              <w:start w:w="70" w:type="dxa"/>
              <w:bottom w:w="55" w:type="dxa"/>
              <w:end w:w="70" w:type="dxa"/>
            </w:tcMar>
            <w:vAlign w:val="center"/>
          </w:tcPr>
          <w:p>
            <w:r>
              <w:rPr>
                <w:b/>
                <w:sz w:val="16"/>
              </w:rPr>
              <w:t>No generative AI</w:t>
            </w:r>
          </w:p>
        </w:tc>
        <w:tc>
          <w:tcPr>
            <w:tcW w:type="dxa" w:w="7877"/>
            <w:tcMar>
              <w:top w:w="55" w:type="dxa"/>
              <w:start w:w="70" w:type="dxa"/>
              <w:bottom w:w="55" w:type="dxa"/>
              <w:end w:w="70" w:type="dxa"/>
            </w:tcMar>
            <w:vAlign w:val="center"/>
          </w:tcPr>
          <w:p>
            <w:r>
              <w:rPr>
                <w:sz w:val="16"/>
              </w:rPr>
              <w:t>Normal instruction with clear limits and access to ordinary human support</w:t>
            </w:r>
          </w:p>
        </w:tc>
      </w:tr>
      <w:tr>
        <w:trPr>
          <w:cantSplit/>
        </w:trPr>
        <w:tc>
          <w:tcPr>
            <w:tcW w:type="dxa" w:w="2520"/>
            <w:tcMar>
              <w:top w:w="55" w:type="dxa"/>
              <w:start w:w="70" w:type="dxa"/>
              <w:bottom w:w="55" w:type="dxa"/>
              <w:end w:w="70" w:type="dxa"/>
            </w:tcMar>
            <w:vAlign w:val="center"/>
            <w:shd w:fill="F7F8F9"/>
          </w:tcPr>
          <w:p>
            <w:r>
              <w:rPr>
                <w:b/>
                <w:sz w:val="16"/>
              </w:rPr>
              <w:t>General AI access</w:t>
            </w:r>
          </w:p>
        </w:tc>
        <w:tc>
          <w:tcPr>
            <w:tcW w:type="dxa" w:w="7877"/>
            <w:tcMar>
              <w:top w:w="55" w:type="dxa"/>
              <w:start w:w="70" w:type="dxa"/>
              <w:bottom w:w="55" w:type="dxa"/>
              <w:end w:w="70" w:type="dxa"/>
            </w:tcMar>
            <w:vAlign w:val="center"/>
            <w:shd w:fill="F7F8F9"/>
          </w:tcPr>
          <w:p>
            <w:r>
              <w:rPr>
                <w:sz w:val="16"/>
              </w:rPr>
              <w:t>A standard chatbot available during selected practice tasks</w:t>
            </w:r>
          </w:p>
        </w:tc>
      </w:tr>
      <w:tr>
        <w:trPr>
          <w:cantSplit/>
        </w:trPr>
        <w:tc>
          <w:tcPr>
            <w:tcW w:type="dxa" w:w="2520"/>
            <w:tcMar>
              <w:top w:w="55" w:type="dxa"/>
              <w:start w:w="70" w:type="dxa"/>
              <w:bottom w:w="55" w:type="dxa"/>
              <w:end w:w="70" w:type="dxa"/>
            </w:tcMar>
            <w:vAlign w:val="center"/>
          </w:tcPr>
          <w:p>
            <w:r>
              <w:rPr>
                <w:b/>
                <w:sz w:val="16"/>
              </w:rPr>
              <w:t>Guardrailed AI tutor</w:t>
            </w:r>
          </w:p>
        </w:tc>
        <w:tc>
          <w:tcPr>
            <w:tcW w:type="dxa" w:w="7877"/>
            <w:tcMar>
              <w:top w:w="55" w:type="dxa"/>
              <w:start w:w="70" w:type="dxa"/>
              <w:bottom w:w="55" w:type="dxa"/>
              <w:end w:w="70" w:type="dxa"/>
            </w:tcMar>
            <w:vAlign w:val="center"/>
          </w:tcPr>
          <w:p>
            <w:r>
              <w:rPr>
                <w:sz w:val="16"/>
              </w:rPr>
              <w:t>Hints, questions, feedback, source grounding, and refusal to provide assessed answers</w:t>
            </w:r>
          </w:p>
        </w:tc>
      </w:tr>
      <w:tr>
        <w:trPr>
          <w:cantSplit/>
        </w:trPr>
        <w:tc>
          <w:tcPr>
            <w:tcW w:type="dxa" w:w="2520"/>
            <w:tcMar>
              <w:top w:w="55" w:type="dxa"/>
              <w:start w:w="70" w:type="dxa"/>
              <w:bottom w:w="55" w:type="dxa"/>
              <w:end w:w="70" w:type="dxa"/>
            </w:tcMar>
            <w:vAlign w:val="center"/>
            <w:shd w:fill="F7F8F9"/>
          </w:tcPr>
          <w:p>
            <w:r>
              <w:rPr>
                <w:b/>
                <w:sz w:val="16"/>
              </w:rPr>
              <w:t>Human plus AI</w:t>
            </w:r>
          </w:p>
        </w:tc>
        <w:tc>
          <w:tcPr>
            <w:tcW w:type="dxa" w:w="7877"/>
            <w:tcMar>
              <w:top w:w="55" w:type="dxa"/>
              <w:start w:w="70" w:type="dxa"/>
              <w:bottom w:w="55" w:type="dxa"/>
              <w:end w:w="70" w:type="dxa"/>
            </w:tcMar>
            <w:vAlign w:val="center"/>
            <w:shd w:fill="F7F8F9"/>
          </w:tcPr>
          <w:p>
            <w:r>
              <w:rPr>
                <w:sz w:val="16"/>
              </w:rPr>
              <w:t>Teacher or tutor remains responsible while AI provides diagnostics or instructional suggestions</w:t>
            </w:r>
          </w:p>
        </w:tc>
      </w:tr>
    </w:tbl>
    <w:p>
      <w:pPr>
        <w:spacing w:after="0"/>
      </w:pPr>
    </w:p>
    <w:p>
      <w:pPr>
        <w:pStyle w:val="Heading2"/>
      </w:pPr>
      <w:r>
        <w:t>Minimum outcome set</w:t>
      </w:r>
    </w:p>
    <w:p>
      <w:pPr>
        <w:pStyle w:val="ListBullet"/>
      </w:pPr>
      <w:r>
        <w:t>Immediate task performance with AI access and an equivalent assessment without AI.</w:t>
      </w:r>
    </w:p>
    <w:p>
      <w:pPr>
        <w:pStyle w:val="ListBullet"/>
      </w:pPr>
      <w:r>
        <w:t>Delayed retention after at least several weeks and transfer to a new problem or text.</w:t>
      </w:r>
    </w:p>
    <w:p>
      <w:pPr>
        <w:pStyle w:val="ListBullet"/>
      </w:pPr>
      <w:r>
        <w:t>Quality of reasoning, source verification, error detection, originality, and oral explanation.</w:t>
      </w:r>
    </w:p>
    <w:p>
      <w:pPr>
        <w:pStyle w:val="ListBullet"/>
      </w:pPr>
      <w:r>
        <w:t>Time on task, help-seeking, confidence calibration, workload, and academic-integrity incidents.</w:t>
      </w:r>
    </w:p>
    <w:p>
      <w:pPr>
        <w:pStyle w:val="ListBullet"/>
      </w:pPr>
      <w:r>
        <w:t>Sustained attention, sleep, distress, belonging, loneliness, peer and instructor interaction, and family support.</w:t>
      </w:r>
    </w:p>
    <w:p>
      <w:pPr>
        <w:pStyle w:val="ListBullet"/>
      </w:pPr>
      <w:r>
        <w:t>Effects by prior achievement, age, disability, language, income, school type, and COVID disruption history.</w:t>
      </w:r>
    </w:p>
    <w:p>
      <w:pPr>
        <w:pStyle w:val="Heading2"/>
      </w:pPr>
      <w:r>
        <w:t>Evidence controls</w:t>
      </w:r>
    </w:p>
    <w:p>
      <w:pPr>
        <w:pStyle w:val="ListBullet"/>
      </w:pPr>
      <w:r>
        <w:t>Record the exact tool, model version, system instructions, permitted task, and exposure time.</w:t>
      </w:r>
    </w:p>
    <w:p>
      <w:pPr>
        <w:pStyle w:val="ListBullet"/>
      </w:pPr>
      <w:r>
        <w:t>Use a baseline before AI access and common assessments across comparison groups.</w:t>
      </w:r>
    </w:p>
    <w:p>
      <w:pPr>
        <w:pStyle w:val="ListBullet"/>
      </w:pPr>
      <w:r>
        <w:t>Separate self-report from observed behavior and validated outcomes.</w:t>
      </w:r>
    </w:p>
    <w:p>
      <w:pPr>
        <w:pStyle w:val="ListBullet"/>
      </w:pPr>
      <w:r>
        <w:t>Predefine the main outcomes and analysis; report null and harmful findings as well as gains.</w:t>
      </w:r>
    </w:p>
    <w:p>
      <w:pPr>
        <w:pStyle w:val="ListBullet"/>
      </w:pPr>
      <w:r>
        <w:t>Protect student privacy and provide human review before any integrity or wellness consequence.</w:t>
      </w:r>
    </w:p>
    <w:p>
      <w:pPr>
        <w:pStyle w:val="ListBullet"/>
      </w:pPr>
      <w:r>
        <w:t>Repeat the study across disciplines, grade levels, and institutions before making systemwide claims.</w:t>
      </w:r>
    </w:p>
    <w:p>
      <w:pPr>
        <w:pStyle w:val="Heading1"/>
      </w:pPr>
      <w:r>
        <w:t>Decision rule for schools and universities</w:t>
      </w:r>
    </w:p>
    <w:p>
      <w:r>
        <w:t>An institution should expand an AI practice only when students improve on an independent measure of the intended capacity, the benefit persists after assistance is removed, serious subgroup harms are not concealed by the average, and the design preserves accountable human relationships. If only speed, satisfaction, or assisted product quality improves, the institution should describe an efficiency gain rather than a learning gain.</w:t>
      </w:r>
    </w:p>
    <w:p>
      <w:pPr>
        <w:pStyle w:val="Heading1"/>
      </w:pPr>
      <w:r>
        <w:t>Conclusion and next investigation</w:t>
      </w:r>
    </w:p>
    <w:p>
      <w:r>
        <w:t>The evidence supports AI as a bounded educational aid, especially when it provides hints, feedback, or support to a human educator. It also supports protecting retrieval, first attempts, direct reading, original composition, and unaided demonstrations of understanding. The evidence does not yet show how sustained AI use affects a well-formed mind, student wellness, or human relationships over years.</w:t>
      </w:r>
    </w:p>
    <w:p>
      <w:r>
        <w:t>The next phase should integrate the institutional profiles from Phases One through Three with this evidence standard. It should score each California institution on stated purpose, documented practice, independent verification, measured learning, mental fitness and wellness, family and social context, COVID comparison, and remaining evidence gaps. Thomas Aquinas College and Mother of Divine Grace should be included explicitly.</w:t>
      </w:r>
    </w:p>
    <w:p>
      <w:pPr>
        <w:pStyle w:val="Heading1"/>
      </w:pPr>
      <w:r>
        <w:t>Sources</w:t>
      </w:r>
    </w:p>
    <w:p>
      <w:r>
        <w:t>Research and official data accessed September 12, 2026. Links lead to the source or official record.</w:t>
      </w:r>
    </w:p>
    <w:p>
      <w:pPr>
        <w:pStyle w:val="ListBullet"/>
      </w:pPr>
      <w:hyperlink r:id="rId11">
        <w:r>
          <w:rPr>
            <w:color w:val="2B5370"/>
            <w:u w:val="single"/>
          </w:rPr>
          <w:t>1  Stanford SCALE  The Evidence Base on AI in K–12  A 2026 Review</w:t>
        </w:r>
      </w:hyperlink>
    </w:p>
    <w:p>
      <w:pPr>
        <w:pStyle w:val="ListBullet"/>
      </w:pPr>
      <w:hyperlink r:id="rId12">
        <w:r>
          <w:rPr>
            <w:color w:val="2B5370"/>
            <w:u w:val="single"/>
          </w:rPr>
          <w:t>2  Bastani and colleagues  Generative AI without guardrails can harm learning  PNAS 2025</w:t>
        </w:r>
      </w:hyperlink>
    </w:p>
    <w:p>
      <w:pPr>
        <w:pStyle w:val="ListBullet"/>
      </w:pPr>
      <w:hyperlink r:id="rId13">
        <w:r>
          <w:rPr>
            <w:color w:val="2B5370"/>
            <w:u w:val="single"/>
          </w:rPr>
          <w:t>3  Kestin and colleagues  AI tutoring outperforms in-class active learning  Scientific Reports 2025</w:t>
        </w:r>
      </w:hyperlink>
    </w:p>
    <w:p>
      <w:pPr>
        <w:pStyle w:val="ListBullet"/>
      </w:pPr>
      <w:hyperlink r:id="rId14">
        <w:r>
          <w:rPr>
            <w:color w:val="2B5370"/>
            <w:u w:val="single"/>
          </w:rPr>
          <w:t>4  Wang and colleagues  Tutor CoPilot  EdWorkingPaper 2025</w:t>
        </w:r>
      </w:hyperlink>
    </w:p>
    <w:p>
      <w:pPr>
        <w:pStyle w:val="ListBullet"/>
      </w:pPr>
      <w:hyperlink r:id="rId15">
        <w:r>
          <w:rPr>
            <w:color w:val="2B5370"/>
            <w:u w:val="single"/>
          </w:rPr>
          <w:t>5  Risko and Gilbert  Cognitive Offloading  Trends in Cognitive Sciences 2016</w:t>
        </w:r>
      </w:hyperlink>
    </w:p>
    <w:p>
      <w:pPr>
        <w:pStyle w:val="ListBullet"/>
      </w:pPr>
      <w:hyperlink r:id="rId16">
        <w:r>
          <w:rPr>
            <w:color w:val="2B5370"/>
            <w:u w:val="single"/>
          </w:rPr>
          <w:t>6  Sparrow, Liu, and Wegner  Google Effects on Memory  Science 2011</w:t>
        </w:r>
      </w:hyperlink>
    </w:p>
    <w:p>
      <w:pPr>
        <w:pStyle w:val="ListBullet"/>
      </w:pPr>
      <w:hyperlink r:id="rId17">
        <w:r>
          <w:rPr>
            <w:color w:val="2B5370"/>
            <w:u w:val="single"/>
          </w:rPr>
          <w:t>7  Karpicke and Roediger  The Critical Importance of Retrieval for Learning  Science 2008</w:t>
        </w:r>
      </w:hyperlink>
    </w:p>
    <w:p>
      <w:pPr>
        <w:pStyle w:val="ListBullet"/>
      </w:pPr>
      <w:hyperlink r:id="rId18">
        <w:r>
          <w:rPr>
            <w:color w:val="2B5370"/>
            <w:u w:val="single"/>
          </w:rPr>
          <w:t>8  Kosmyna and colleagues  Your Brain on ChatGPT  MIT Media Lab preprint 2025</w:t>
        </w:r>
      </w:hyperlink>
    </w:p>
    <w:p>
      <w:pPr>
        <w:pStyle w:val="ListBullet"/>
      </w:pPr>
      <w:hyperlink r:id="rId19">
        <w:r>
          <w:rPr>
            <w:color w:val="2B5370"/>
            <w:u w:val="single"/>
          </w:rPr>
          <w:t>9  Liang and colleagues  GPT detectors are biased against non-native English writers  Patterns 2023</w:t>
        </w:r>
      </w:hyperlink>
    </w:p>
    <w:p>
      <w:pPr>
        <w:pStyle w:val="ListBullet"/>
      </w:pPr>
      <w:hyperlink r:id="rId20">
        <w:r>
          <w:rPr>
            <w:color w:val="2B5370"/>
            <w:u w:val="single"/>
          </w:rPr>
          <w:t>10  CDC  Youth Risk Behavior Survey Data Summary and Trends Report 2023</w:t>
        </w:r>
      </w:hyperlink>
    </w:p>
    <w:p>
      <w:pPr>
        <w:pStyle w:val="ListBullet"/>
      </w:pPr>
      <w:hyperlink r:id="rId21">
        <w:r>
          <w:rPr>
            <w:color w:val="2B5370"/>
            <w:u w:val="single"/>
          </w:rPr>
          <w:t>11  National Center for Education Statistics  2024 NAEP Mathematics</w:t>
        </w:r>
      </w:hyperlink>
    </w:p>
    <w:p>
      <w:pPr>
        <w:pStyle w:val="ListBullet"/>
      </w:pPr>
      <w:hyperlink r:id="rId22">
        <w:r>
          <w:rPr>
            <w:color w:val="2B5370"/>
            <w:u w:val="single"/>
          </w:rPr>
          <w:t>12  Education Scorecard  2025 National Findings</w:t>
        </w:r>
      </w:hyperlink>
    </w:p>
    <w:p>
      <w:pPr>
        <w:pStyle w:val="ListBullet"/>
      </w:pPr>
      <w:hyperlink r:id="rId23">
        <w:r>
          <w:rPr>
            <w:color w:val="2B5370"/>
            <w:u w:val="single"/>
          </w:rPr>
          <w:t>13  CDC  Youth mental health during the COVID-19 pandemic 2021</w:t>
        </w:r>
      </w:hyperlink>
    </w:p>
    <w:sectPr w:rsidR="00FC693F" w:rsidRPr="0006063C" w:rsidSect="00034616">
      <w:headerReference w:type="default" r:id="rId9"/>
      <w:footerReference w:type="default" r:id="rId10"/>
      <w:pgSz w:w="12240" w:h="15840"/>
      <w:pgMar w:top="979" w:right="1037" w:bottom="907"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586067"/>
        <w:sz w:val="14"/>
      </w:rPr>
      <w:t>Prepared by ______________________________</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586067"/>
        <w:sz w:val="14"/>
      </w:rPr>
      <w:t>THE WELL FORMED MIND PROJECT  /  EMPIRICAL EVIDENCE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262C3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color w:val="262C31"/>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cale.stanford.edu/sites/default/files/The%20Evidence%20Base%20on%20AI%20in%20K-12%20Report.pdf" TargetMode="External"/><Relationship Id="rId12" Type="http://schemas.openxmlformats.org/officeDocument/2006/relationships/hyperlink" Target="https://pubmed.ncbi.nlm.nih.gov/40560616/" TargetMode="External"/><Relationship Id="rId13" Type="http://schemas.openxmlformats.org/officeDocument/2006/relationships/hyperlink" Target="https://doi.org/10.1038/s41598-025-97652-6" TargetMode="External"/><Relationship Id="rId14" Type="http://schemas.openxmlformats.org/officeDocument/2006/relationships/hyperlink" Target="https://edworkingpapers.com/ai24-1054" TargetMode="External"/><Relationship Id="rId15" Type="http://schemas.openxmlformats.org/officeDocument/2006/relationships/hyperlink" Target="https://doi.org/10.1016/j.tics.2016.07.002" TargetMode="External"/><Relationship Id="rId16" Type="http://schemas.openxmlformats.org/officeDocument/2006/relationships/hyperlink" Target="https://doi.org/10.1126/science.1207745" TargetMode="External"/><Relationship Id="rId17" Type="http://schemas.openxmlformats.org/officeDocument/2006/relationships/hyperlink" Target="https://pubmed.ncbi.nlm.nih.gov/18276894/" TargetMode="External"/><Relationship Id="rId18" Type="http://schemas.openxmlformats.org/officeDocument/2006/relationships/hyperlink" Target="https://www.media.mit.edu/publications/your-brain-on-chatgpt/" TargetMode="External"/><Relationship Id="rId19" Type="http://schemas.openxmlformats.org/officeDocument/2006/relationships/hyperlink" Target="https://pubmed.ncbi.nlm.nih.gov/37521038/" TargetMode="External"/><Relationship Id="rId20" Type="http://schemas.openxmlformats.org/officeDocument/2006/relationships/hyperlink" Target="https://www.cdc.gov/yrbs/dstr/index.html" TargetMode="External"/><Relationship Id="rId21" Type="http://schemas.openxmlformats.org/officeDocument/2006/relationships/hyperlink" Target="https://www.nationsreportcard.gov/reports/mathematics/2024/g4_8/national-trends/" TargetMode="External"/><Relationship Id="rId22" Type="http://schemas.openxmlformats.org/officeDocument/2006/relationships/hyperlink" Target="https://educationscorecard.org/" TargetMode="External"/><Relationship Id="rId23" Type="http://schemas.openxmlformats.org/officeDocument/2006/relationships/hyperlink" Target="https://archive.cdc.gov/www_cdc_gov/media/releases/2022/p0331-youth-mental-health-covid-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Empirical Evidence Review Phase Four</dc:title>
  <dc:subject>Empirical evidence on AI, learning, mental fitness, wellness, and COVID context</dc:subject>
  <dc:creator/>
  <cp:keywords>education, artificial intelligence, California, mental fitness, wellness, COVID, learning</cp:keywords>
  <dc:description>generated by python-docx</dc:description>
  <cp:lastModifiedBy/>
  <cp:revision>1</cp:revision>
  <dcterms:created xsi:type="dcterms:W3CDTF">2013-12-23T23:15:00Z</dcterms:created>
  <dcterms:modified xsi:type="dcterms:W3CDTF">2013-12-23T23:15:00Z</dcterms:modified>
  <cp:category/>
</cp:coreProperties>
</file>