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Evidence Ledger</w:t>
      </w:r>
    </w:p>
    <w:p>
      <w:pPr>
        <w:spacing w:after="40"/>
      </w:pPr>
      <w:r>
        <w:rPr>
          <w:b/>
          <w:color w:val="1A425A"/>
          <w:sz w:val="22"/>
        </w:rPr>
        <w:t>Phase Nine  |  Claim status, protected performance, and scorecard consequences</w:t>
      </w:r>
    </w:p>
    <w:p>
      <w:pPr>
        <w:spacing w:after="160"/>
      </w:pPr>
      <w:r>
        <w:t>Evidence date: September 12, 2026  •  Informational working document  •  No outreach or personal attribution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168"/>
            <w:vAlign w:val="center"/>
            <w:shd w:fill="1A425A"/>
            <w:tcMar>
              <w:top w:w="80" w:type="dxa"/>
              <w:start w:w="90" w:type="dxa"/>
              <w:bottom w:w="80" w:type="dxa"/>
              <w:end w:w="90" w:type="dxa"/>
            </w:tcMar>
          </w:tcPr>
          <w:p>
            <w:pPr>
              <w:spacing w:after="0"/>
            </w:pPr>
            <w:r>
              <w:rPr>
                <w:b/>
                <w:color w:val="FFFFFF"/>
                <w:sz w:val="18"/>
              </w:rPr>
              <w:t>Review field</w:t>
            </w:r>
          </w:p>
        </w:tc>
        <w:tc>
          <w:tcPr>
            <w:tcW w:type="dxa" w:w="7056"/>
            <w:vAlign w:val="center"/>
            <w:shd w:fill="1A425A"/>
            <w:tcMar>
              <w:top w:w="80" w:type="dxa"/>
              <w:start w:w="90" w:type="dxa"/>
              <w:bottom w:w="80" w:type="dxa"/>
              <w:end w:w="90" w:type="dxa"/>
            </w:tcMar>
          </w:tcPr>
          <w:p>
            <w:pPr>
              <w:spacing w:after="0"/>
            </w:pPr>
            <w:r>
              <w:rPr>
                <w:b/>
                <w:color w:val="FFFFFF"/>
                <w:sz w:val="18"/>
              </w:rPr>
              <w:t>Entry</w:t>
            </w:r>
          </w:p>
        </w:tc>
      </w:tr>
      <w:tr>
        <w:trPr>
          <w:cantSplit/>
        </w:trPr>
        <w:tc>
          <w:tcPr>
            <w:tcW w:type="dxa" w:w="3168"/>
            <w:vAlign w:val="center"/>
            <w:tcMar>
              <w:top w:w="80" w:type="dxa"/>
              <w:start w:w="90" w:type="dxa"/>
              <w:bottom w:w="80" w:type="dxa"/>
              <w:end w:w="90" w:type="dxa"/>
            </w:tcMar>
          </w:tcPr>
          <w:p>
            <w:pPr>
              <w:spacing w:after="0"/>
            </w:pPr>
            <w:r>
              <w:rPr>
                <w:b/>
                <w:sz w:val="18"/>
              </w:rPr>
              <w:t>Responsible person</w:t>
            </w:r>
          </w:p>
        </w:tc>
        <w:tc>
          <w:tcPr>
            <w:tcW w:type="dxa" w:w="7056"/>
            <w:vAlign w:val="center"/>
            <w:tcMar>
              <w:top w:w="80" w:type="dxa"/>
              <w:start w:w="90" w:type="dxa"/>
              <w:bottom w:w="80" w:type="dxa"/>
              <w:end w:w="90" w:type="dxa"/>
            </w:tcMar>
          </w:tcPr>
          <w:p>
            <w:pPr>
              <w:spacing w:after="0"/>
            </w:pPr>
            <w:r>
              <w:rPr>
                <w:sz w:val="18"/>
              </w:rPr>
              <w:t>________________________________________</w:t>
            </w:r>
          </w:p>
        </w:tc>
      </w:tr>
      <w:tr>
        <w:trPr>
          <w:cantSplit/>
        </w:trPr>
        <w:tc>
          <w:tcPr>
            <w:tcW w:type="dxa" w:w="3168"/>
            <w:vAlign w:val="center"/>
            <w:tcMar>
              <w:top w:w="80" w:type="dxa"/>
              <w:start w:w="90" w:type="dxa"/>
              <w:bottom w:w="80" w:type="dxa"/>
              <w:end w:w="90" w:type="dxa"/>
            </w:tcMar>
            <w:shd w:fill="F5F7F8"/>
          </w:tcPr>
          <w:p>
            <w:pPr>
              <w:spacing w:after="0"/>
            </w:pPr>
            <w:r>
              <w:rPr>
                <w:b/>
                <w:sz w:val="18"/>
              </w:rPr>
              <w:t>Organization or role</w:t>
            </w:r>
          </w:p>
        </w:tc>
        <w:tc>
          <w:tcPr>
            <w:tcW w:type="dxa" w:w="7056"/>
            <w:vAlign w:val="center"/>
            <w:tcMar>
              <w:top w:w="80" w:type="dxa"/>
              <w:start w:w="90" w:type="dxa"/>
              <w:bottom w:w="80" w:type="dxa"/>
              <w:end w:w="90" w:type="dxa"/>
            </w:tcMar>
            <w:shd w:fill="F5F7F8"/>
          </w:tcPr>
          <w:p>
            <w:pPr>
              <w:spacing w:after="0"/>
            </w:pPr>
            <w:r>
              <w:rPr>
                <w:sz w:val="18"/>
              </w:rPr>
              <w:t>________________________________________</w:t>
            </w:r>
          </w:p>
        </w:tc>
      </w:tr>
      <w:tr>
        <w:trPr>
          <w:cantSplit/>
        </w:trPr>
        <w:tc>
          <w:tcPr>
            <w:tcW w:type="dxa" w:w="3168"/>
            <w:vAlign w:val="center"/>
            <w:tcMar>
              <w:top w:w="80" w:type="dxa"/>
              <w:start w:w="90" w:type="dxa"/>
              <w:bottom w:w="80" w:type="dxa"/>
              <w:end w:w="90" w:type="dxa"/>
            </w:tcMar>
          </w:tcPr>
          <w:p>
            <w:pPr>
              <w:spacing w:after="0"/>
            </w:pPr>
            <w:r>
              <w:rPr>
                <w:b/>
                <w:sz w:val="18"/>
              </w:rPr>
              <w:t>Review date</w:t>
            </w:r>
          </w:p>
        </w:tc>
        <w:tc>
          <w:tcPr>
            <w:tcW w:type="dxa" w:w="7056"/>
            <w:vAlign w:val="center"/>
            <w:tcMar>
              <w:top w:w="80" w:type="dxa"/>
              <w:start w:w="90" w:type="dxa"/>
              <w:bottom w:w="80" w:type="dxa"/>
              <w:end w:w="90" w:type="dxa"/>
            </w:tcMar>
          </w:tcPr>
          <w:p>
            <w:pPr>
              <w:spacing w:after="0"/>
            </w:pPr>
            <w:r>
              <w:rPr>
                <w:sz w:val="18"/>
              </w:rPr>
              <w:t>________________________________________</w:t>
            </w:r>
          </w:p>
        </w:tc>
      </w:tr>
    </w:tbl>
    <w:p>
      <w:pPr>
        <w:pStyle w:val="Heading1"/>
      </w:pPr>
      <w:r>
        <w:t>Phase Nine conclusion</w:t>
      </w:r>
    </w:p>
    <w:p>
      <w:r>
        <w:t>The evidence ledger confirms that the California institutions divide into three broad patterns: mature AI governance without measured independent outcomes; strong human-formation architecture without complete public AI governance; and promising participatory or project-based practice without sufficient individual verification. No institution reaches PH-4, the level requiring measured durable unaided transfer. This prevents the scorecard from mistaking policies, licenses, courses, or attractive student products for proof that minds are being formed more successfully.</w:t>
      </w:r>
    </w:p>
    <w:p>
      <w:r>
        <w:t>Two status changes are especially important. Thomas Aquinas College's earlier public-policy gap is superseded because its current California Code of Conduct now contains a direct student-facing AI prohibition for academic papers and preparatory work. High Tech High's policy adoption is verified from May 28, 2025 board minutes, while the policy's complete operative text remains only partial evidence.</w:t>
      </w:r>
    </w:p>
    <w:p>
      <w:pPr>
        <w:pStyle w:val="Heading1"/>
      </w:pPr>
      <w:r>
        <w:t>Ledger codes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088"/>
            <w:vAlign w:val="center"/>
            <w:shd w:fill="1A425A"/>
            <w:tcMar>
              <w:top w:w="80" w:type="dxa"/>
              <w:start w:w="90" w:type="dxa"/>
              <w:bottom w:w="80" w:type="dxa"/>
              <w:end w:w="90" w:type="dxa"/>
            </w:tcMar>
          </w:tcPr>
          <w:p>
            <w:pPr>
              <w:spacing w:after="0"/>
            </w:pPr>
            <w:r>
              <w:rPr>
                <w:b/>
                <w:color w:val="FFFFFF"/>
                <w:sz w:val="17"/>
              </w:rPr>
              <w:t>Code</w:t>
            </w:r>
          </w:p>
        </w:tc>
        <w:tc>
          <w:tcPr>
            <w:tcW w:type="dxa" w:w="8136"/>
            <w:vAlign w:val="center"/>
            <w:shd w:fill="1A425A"/>
            <w:tcMar>
              <w:top w:w="80" w:type="dxa"/>
              <w:start w:w="90" w:type="dxa"/>
              <w:bottom w:w="80" w:type="dxa"/>
              <w:end w:w="90" w:type="dxa"/>
            </w:tcMar>
          </w:tcPr>
          <w:p>
            <w:pPr>
              <w:spacing w:after="0"/>
            </w:pPr>
            <w:r>
              <w:rPr>
                <w:b/>
                <w:color w:val="FFFFFF"/>
                <w:sz w:val="17"/>
              </w:rPr>
              <w:t>Meaning</w:t>
            </w:r>
          </w:p>
        </w:tc>
      </w:tr>
      <w:tr>
        <w:trPr>
          <w:cantSplit/>
        </w:trPr>
        <w:tc>
          <w:tcPr>
            <w:tcW w:type="dxa" w:w="2088"/>
            <w:vAlign w:val="center"/>
            <w:tcMar>
              <w:top w:w="80" w:type="dxa"/>
              <w:start w:w="90" w:type="dxa"/>
              <w:bottom w:w="80" w:type="dxa"/>
              <w:end w:w="90" w:type="dxa"/>
            </w:tcMar>
          </w:tcPr>
          <w:p>
            <w:pPr>
              <w:spacing w:after="0"/>
            </w:pPr>
            <w:r>
              <w:rPr>
                <w:b/>
                <w:sz w:val="17"/>
              </w:rPr>
              <w:t>V — Verified</w:t>
            </w:r>
          </w:p>
        </w:tc>
        <w:tc>
          <w:tcPr>
            <w:tcW w:type="dxa" w:w="8136"/>
            <w:vAlign w:val="center"/>
            <w:tcMar>
              <w:top w:w="80" w:type="dxa"/>
              <w:start w:w="90" w:type="dxa"/>
              <w:bottom w:w="80" w:type="dxa"/>
              <w:end w:w="90" w:type="dxa"/>
            </w:tcMar>
          </w:tcPr>
          <w:p>
            <w:pPr>
              <w:spacing w:after="0"/>
            </w:pPr>
            <w:r>
              <w:rPr>
                <w:sz w:val="17"/>
              </w:rPr>
              <w:t>An official source directly supports the limited claim stated.</w:t>
            </w:r>
          </w:p>
        </w:tc>
      </w:tr>
      <w:tr>
        <w:trPr>
          <w:cantSplit/>
        </w:trPr>
        <w:tc>
          <w:tcPr>
            <w:tcW w:type="dxa" w:w="2088"/>
            <w:vAlign w:val="center"/>
            <w:tcMar>
              <w:top w:w="80" w:type="dxa"/>
              <w:start w:w="90" w:type="dxa"/>
              <w:bottom w:w="80" w:type="dxa"/>
              <w:end w:w="90" w:type="dxa"/>
            </w:tcMar>
            <w:shd w:fill="F5F7F8"/>
          </w:tcPr>
          <w:p>
            <w:pPr>
              <w:spacing w:after="0"/>
            </w:pPr>
            <w:r>
              <w:rPr>
                <w:b/>
                <w:sz w:val="17"/>
              </w:rPr>
              <w:t>P — Partial</w:t>
            </w:r>
          </w:p>
        </w:tc>
        <w:tc>
          <w:tcPr>
            <w:tcW w:type="dxa" w:w="8136"/>
            <w:vAlign w:val="center"/>
            <w:tcMar>
              <w:top w:w="80" w:type="dxa"/>
              <w:start w:w="90" w:type="dxa"/>
              <w:bottom w:w="80" w:type="dxa"/>
              <w:end w:w="90" w:type="dxa"/>
            </w:tcMar>
            <w:shd w:fill="F5F7F8"/>
          </w:tcPr>
          <w:p>
            <w:pPr>
              <w:spacing w:after="0"/>
            </w:pPr>
            <w:r>
              <w:rPr>
                <w:sz w:val="17"/>
              </w:rPr>
              <w:t>An official source supports only part of the claim; implementation, scope, or effect is unresolved.</w:t>
            </w:r>
          </w:p>
        </w:tc>
      </w:tr>
      <w:tr>
        <w:trPr>
          <w:cantSplit/>
        </w:trPr>
        <w:tc>
          <w:tcPr>
            <w:tcW w:type="dxa" w:w="2088"/>
            <w:vAlign w:val="center"/>
            <w:tcMar>
              <w:top w:w="80" w:type="dxa"/>
              <w:start w:w="90" w:type="dxa"/>
              <w:bottom w:w="80" w:type="dxa"/>
              <w:end w:w="90" w:type="dxa"/>
            </w:tcMar>
          </w:tcPr>
          <w:p>
            <w:pPr>
              <w:spacing w:after="0"/>
            </w:pPr>
            <w:r>
              <w:rPr>
                <w:b/>
                <w:sz w:val="17"/>
              </w:rPr>
              <w:t>M — Missing</w:t>
            </w:r>
          </w:p>
        </w:tc>
        <w:tc>
          <w:tcPr>
            <w:tcW w:type="dxa" w:w="8136"/>
            <w:vAlign w:val="center"/>
            <w:tcMar>
              <w:top w:w="80" w:type="dxa"/>
              <w:start w:w="90" w:type="dxa"/>
              <w:bottom w:w="80" w:type="dxa"/>
              <w:end w:w="90" w:type="dxa"/>
            </w:tcMar>
          </w:tcPr>
          <w:p>
            <w:pPr>
              <w:spacing w:after="0"/>
            </w:pPr>
            <w:r>
              <w:rPr>
                <w:sz w:val="17"/>
              </w:rPr>
              <w:t>The required evidence was not located publicly. This does not prove the practice does not exist.</w:t>
            </w:r>
          </w:p>
        </w:tc>
      </w:tr>
      <w:tr>
        <w:trPr>
          <w:cantSplit/>
        </w:trPr>
        <w:tc>
          <w:tcPr>
            <w:tcW w:type="dxa" w:w="2088"/>
            <w:vAlign w:val="center"/>
            <w:tcMar>
              <w:top w:w="80" w:type="dxa"/>
              <w:start w:w="90" w:type="dxa"/>
              <w:bottom w:w="80" w:type="dxa"/>
              <w:end w:w="90" w:type="dxa"/>
            </w:tcMar>
            <w:shd w:fill="F5F7F8"/>
          </w:tcPr>
          <w:p>
            <w:pPr>
              <w:spacing w:after="0"/>
            </w:pPr>
            <w:r>
              <w:rPr>
                <w:b/>
                <w:sz w:val="17"/>
              </w:rPr>
              <w:t>R — Restricted</w:t>
            </w:r>
          </w:p>
        </w:tc>
        <w:tc>
          <w:tcPr>
            <w:tcW w:type="dxa" w:w="8136"/>
            <w:vAlign w:val="center"/>
            <w:tcMar>
              <w:top w:w="80" w:type="dxa"/>
              <w:start w:w="90" w:type="dxa"/>
              <w:bottom w:w="80" w:type="dxa"/>
              <w:end w:w="90" w:type="dxa"/>
            </w:tcMar>
            <w:shd w:fill="F5F7F8"/>
          </w:tcPr>
          <w:p>
            <w:pPr>
              <w:spacing w:after="0"/>
            </w:pPr>
            <w:r>
              <w:rPr>
                <w:sz w:val="17"/>
              </w:rPr>
              <w:t>The evidence likely resides in a course, portal, handbook, student record, or internal system not publicly accessible.</w:t>
            </w:r>
          </w:p>
        </w:tc>
      </w:tr>
      <w:tr>
        <w:trPr>
          <w:cantSplit/>
        </w:trPr>
        <w:tc>
          <w:tcPr>
            <w:tcW w:type="dxa" w:w="2088"/>
            <w:vAlign w:val="center"/>
            <w:tcMar>
              <w:top w:w="80" w:type="dxa"/>
              <w:start w:w="90" w:type="dxa"/>
              <w:bottom w:w="80" w:type="dxa"/>
              <w:end w:w="90" w:type="dxa"/>
            </w:tcMar>
          </w:tcPr>
          <w:p>
            <w:pPr>
              <w:spacing w:after="0"/>
            </w:pPr>
            <w:r>
              <w:rPr>
                <w:b/>
                <w:sz w:val="17"/>
              </w:rPr>
              <w:t>S — Superseded</w:t>
            </w:r>
          </w:p>
        </w:tc>
        <w:tc>
          <w:tcPr>
            <w:tcW w:type="dxa" w:w="8136"/>
            <w:vAlign w:val="center"/>
            <w:tcMar>
              <w:top w:w="80" w:type="dxa"/>
              <w:start w:w="90" w:type="dxa"/>
              <w:bottom w:w="80" w:type="dxa"/>
              <w:end w:w="90" w:type="dxa"/>
            </w:tcMar>
          </w:tcPr>
          <w:p>
            <w:pPr>
              <w:spacing w:after="0"/>
            </w:pPr>
            <w:r>
              <w:rPr>
                <w:sz w:val="17"/>
              </w:rPr>
              <w:t>A dated earlier finding has been replaced by newer or more complete evidence and is retained only for history.</w:t>
            </w:r>
          </w:p>
        </w:tc>
      </w:tr>
    </w:tbl>
    <w:p>
      <w:r>
        <w:br w:type="page"/>
      </w:r>
    </w:p>
    <w:p>
      <w:pPr>
        <w:pStyle w:val="Heading1"/>
      </w:pPr>
      <w:r>
        <w:t>Protected human-performance scale</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512"/>
            <w:vAlign w:val="center"/>
            <w:shd w:fill="1A425A"/>
            <w:tcMar>
              <w:top w:w="80" w:type="dxa"/>
              <w:start w:w="90" w:type="dxa"/>
              <w:bottom w:w="80" w:type="dxa"/>
              <w:end w:w="90" w:type="dxa"/>
            </w:tcMar>
          </w:tcPr>
          <w:p>
            <w:pPr>
              <w:spacing w:after="0"/>
            </w:pPr>
            <w:r>
              <w:rPr>
                <w:b/>
                <w:color w:val="FFFFFF"/>
                <w:sz w:val="17"/>
              </w:rPr>
              <w:t>Level</w:t>
            </w:r>
          </w:p>
        </w:tc>
        <w:tc>
          <w:tcPr>
            <w:tcW w:type="dxa" w:w="8712"/>
            <w:vAlign w:val="center"/>
            <w:shd w:fill="1A425A"/>
            <w:tcMar>
              <w:top w:w="80" w:type="dxa"/>
              <w:start w:w="90" w:type="dxa"/>
              <w:bottom w:w="80" w:type="dxa"/>
              <w:end w:w="90" w:type="dxa"/>
            </w:tcMar>
          </w:tcPr>
          <w:p>
            <w:pPr>
              <w:spacing w:after="0"/>
            </w:pPr>
            <w:r>
              <w:rPr>
                <w:b/>
                <w:color w:val="FFFFFF"/>
                <w:sz w:val="17"/>
              </w:rPr>
              <w:t>Evidence standard</w:t>
            </w:r>
          </w:p>
        </w:tc>
      </w:tr>
      <w:tr>
        <w:trPr>
          <w:cantSplit/>
        </w:trPr>
        <w:tc>
          <w:tcPr>
            <w:tcW w:type="dxa" w:w="1512"/>
            <w:vAlign w:val="center"/>
            <w:tcMar>
              <w:top w:w="80" w:type="dxa"/>
              <w:start w:w="90" w:type="dxa"/>
              <w:bottom w:w="80" w:type="dxa"/>
              <w:end w:w="90" w:type="dxa"/>
            </w:tcMar>
          </w:tcPr>
          <w:p>
            <w:pPr>
              <w:spacing w:after="0"/>
            </w:pPr>
            <w:r>
              <w:rPr>
                <w:b/>
                <w:sz w:val="17"/>
              </w:rPr>
              <w:t>PH-0</w:t>
            </w:r>
          </w:p>
        </w:tc>
        <w:tc>
          <w:tcPr>
            <w:tcW w:type="dxa" w:w="8712"/>
            <w:vAlign w:val="center"/>
            <w:tcMar>
              <w:top w:w="80" w:type="dxa"/>
              <w:start w:w="90" w:type="dxa"/>
              <w:bottom w:w="80" w:type="dxa"/>
              <w:end w:w="90" w:type="dxa"/>
            </w:tcMar>
          </w:tcPr>
          <w:p>
            <w:pPr>
              <w:spacing w:after="0"/>
            </w:pPr>
            <w:r>
              <w:rPr>
                <w:sz w:val="17"/>
              </w:rPr>
              <w:t>No protected unaided performance identified.</w:t>
            </w:r>
          </w:p>
        </w:tc>
      </w:tr>
      <w:tr>
        <w:trPr>
          <w:cantSplit/>
        </w:trPr>
        <w:tc>
          <w:tcPr>
            <w:tcW w:type="dxa" w:w="1512"/>
            <w:vAlign w:val="center"/>
            <w:tcMar>
              <w:top w:w="80" w:type="dxa"/>
              <w:start w:w="90" w:type="dxa"/>
              <w:bottom w:w="80" w:type="dxa"/>
              <w:end w:w="90" w:type="dxa"/>
            </w:tcMar>
            <w:shd w:fill="F5F7F8"/>
          </w:tcPr>
          <w:p>
            <w:pPr>
              <w:spacing w:after="0"/>
            </w:pPr>
            <w:r>
              <w:rPr>
                <w:b/>
                <w:sz w:val="17"/>
              </w:rPr>
              <w:t>PH-1</w:t>
            </w:r>
          </w:p>
        </w:tc>
        <w:tc>
          <w:tcPr>
            <w:tcW w:type="dxa" w:w="8712"/>
            <w:vAlign w:val="center"/>
            <w:tcMar>
              <w:top w:w="80" w:type="dxa"/>
              <w:start w:w="90" w:type="dxa"/>
              <w:bottom w:w="80" w:type="dxa"/>
              <w:end w:w="90" w:type="dxa"/>
            </w:tcMar>
            <w:shd w:fill="F5F7F8"/>
          </w:tcPr>
          <w:p>
            <w:pPr>
              <w:spacing w:after="0"/>
            </w:pPr>
            <w:r>
              <w:rPr>
                <w:sz w:val="17"/>
              </w:rPr>
              <w:t>A protected performance is proposed, inferred, or recommended, but not publicly established as implemented.</w:t>
            </w:r>
          </w:p>
        </w:tc>
      </w:tr>
      <w:tr>
        <w:trPr>
          <w:cantSplit/>
        </w:trPr>
        <w:tc>
          <w:tcPr>
            <w:tcW w:type="dxa" w:w="1512"/>
            <w:vAlign w:val="center"/>
            <w:tcMar>
              <w:top w:w="80" w:type="dxa"/>
              <w:start w:w="90" w:type="dxa"/>
              <w:bottom w:w="80" w:type="dxa"/>
              <w:end w:w="90" w:type="dxa"/>
            </w:tcMar>
          </w:tcPr>
          <w:p>
            <w:pPr>
              <w:spacing w:after="0"/>
            </w:pPr>
            <w:r>
              <w:rPr>
                <w:b/>
                <w:sz w:val="17"/>
              </w:rPr>
              <w:t>PH-2</w:t>
            </w:r>
          </w:p>
        </w:tc>
        <w:tc>
          <w:tcPr>
            <w:tcW w:type="dxa" w:w="8712"/>
            <w:vAlign w:val="center"/>
            <w:tcMar>
              <w:top w:w="80" w:type="dxa"/>
              <w:start w:w="90" w:type="dxa"/>
              <w:bottom w:w="80" w:type="dxa"/>
              <w:end w:w="90" w:type="dxa"/>
            </w:tcMar>
          </w:tcPr>
          <w:p>
            <w:pPr>
              <w:spacing w:after="0"/>
            </w:pPr>
            <w:r>
              <w:rPr>
                <w:sz w:val="17"/>
              </w:rPr>
              <w:t>A published policy, curriculum, or program design protects identifiable human work.</w:t>
            </w:r>
          </w:p>
        </w:tc>
      </w:tr>
      <w:tr>
        <w:trPr>
          <w:cantSplit/>
        </w:trPr>
        <w:tc>
          <w:tcPr>
            <w:tcW w:type="dxa" w:w="1512"/>
            <w:vAlign w:val="center"/>
            <w:tcMar>
              <w:top w:w="80" w:type="dxa"/>
              <w:start w:w="90" w:type="dxa"/>
              <w:bottom w:w="80" w:type="dxa"/>
              <w:end w:w="90" w:type="dxa"/>
            </w:tcMar>
            <w:shd w:fill="F5F7F8"/>
          </w:tcPr>
          <w:p>
            <w:pPr>
              <w:spacing w:after="0"/>
            </w:pPr>
            <w:r>
              <w:rPr>
                <w:b/>
                <w:sz w:val="17"/>
              </w:rPr>
              <w:t>PH-3</w:t>
            </w:r>
          </w:p>
        </w:tc>
        <w:tc>
          <w:tcPr>
            <w:tcW w:type="dxa" w:w="8712"/>
            <w:vAlign w:val="center"/>
            <w:tcMar>
              <w:top w:w="80" w:type="dxa"/>
              <w:start w:w="90" w:type="dxa"/>
              <w:bottom w:w="80" w:type="dxa"/>
              <w:end w:w="90" w:type="dxa"/>
            </w:tcMar>
            <w:shd w:fill="F5F7F8"/>
          </w:tcPr>
          <w:p>
            <w:pPr>
              <w:spacing w:after="0"/>
            </w:pPr>
            <w:r>
              <w:rPr>
                <w:sz w:val="17"/>
              </w:rPr>
              <w:t>Implementation is documented with representative assignments, artifacts, scoring, or aggregate results.</w:t>
            </w:r>
          </w:p>
        </w:tc>
      </w:tr>
      <w:tr>
        <w:trPr>
          <w:cantSplit/>
        </w:trPr>
        <w:tc>
          <w:tcPr>
            <w:tcW w:type="dxa" w:w="1512"/>
            <w:vAlign w:val="center"/>
            <w:tcMar>
              <w:top w:w="80" w:type="dxa"/>
              <w:start w:w="90" w:type="dxa"/>
              <w:bottom w:w="80" w:type="dxa"/>
              <w:end w:w="90" w:type="dxa"/>
            </w:tcMar>
          </w:tcPr>
          <w:p>
            <w:pPr>
              <w:spacing w:after="0"/>
            </w:pPr>
            <w:r>
              <w:rPr>
                <w:b/>
                <w:sz w:val="17"/>
              </w:rPr>
              <w:t>PH-4</w:t>
            </w:r>
          </w:p>
        </w:tc>
        <w:tc>
          <w:tcPr>
            <w:tcW w:type="dxa" w:w="8712"/>
            <w:vAlign w:val="center"/>
            <w:tcMar>
              <w:top w:w="80" w:type="dxa"/>
              <w:start w:w="90" w:type="dxa"/>
              <w:bottom w:w="80" w:type="dxa"/>
              <w:end w:w="90" w:type="dxa"/>
            </w:tcMar>
          </w:tcPr>
          <w:p>
            <w:pPr>
              <w:spacing w:after="0"/>
            </w:pPr>
            <w:r>
              <w:rPr>
                <w:sz w:val="17"/>
              </w:rPr>
              <w:t>Durable unaided transfer is measured after assistance ends, with a credible comparison and stated limitations.</w:t>
            </w:r>
          </w:p>
        </w:tc>
      </w:tr>
    </w:tbl>
    <w:p>
      <w:pPr>
        <w:pStyle w:val="Heading1"/>
      </w:pPr>
      <w:r>
        <w:t>Master evidence register</w:t>
      </w:r>
    </w:p>
    <w:tbl>
      <w:tblPr>
        <w:tblStyle w:val="TableGrid"/>
        <w:tblW w:type="auto" w:w="0"/>
        <w:jc w:val="center"/>
        <w:tblLayout w:type="fixed"/>
        <w:tblLook w:firstColumn="1" w:firstRow="1" w:lastColumn="0" w:lastRow="0" w:noHBand="0" w:noVBand="1" w:val="04A0"/>
      </w:tblPr>
      <w:tblGrid>
        <w:gridCol w:w="1723"/>
        <w:gridCol w:w="1723"/>
        <w:gridCol w:w="1723"/>
        <w:gridCol w:w="1723"/>
        <w:gridCol w:w="1723"/>
        <w:gridCol w:w="1723"/>
      </w:tblGrid>
      <w:tr>
        <w:trPr>
          <w:tblHeader w:val="true"/>
          <w:cantSplit/>
        </w:trPr>
        <w:tc>
          <w:tcPr>
            <w:tcW w:type="dxa" w:w="2477"/>
            <w:vAlign w:val="center"/>
            <w:shd w:fill="1A425A"/>
            <w:tcMar>
              <w:top w:w="80" w:type="dxa"/>
              <w:start w:w="90" w:type="dxa"/>
              <w:bottom w:w="80" w:type="dxa"/>
              <w:end w:w="90" w:type="dxa"/>
            </w:tcMar>
          </w:tcPr>
          <w:p>
            <w:pPr>
              <w:spacing w:after="0"/>
            </w:pPr>
            <w:r>
              <w:rPr>
                <w:b/>
                <w:color w:val="FFFFFF"/>
                <w:sz w:val="15"/>
              </w:rPr>
              <w:t>Institution</w:t>
            </w:r>
          </w:p>
        </w:tc>
        <w:tc>
          <w:tcPr>
            <w:tcW w:type="dxa" w:w="1656"/>
            <w:vAlign w:val="center"/>
            <w:shd w:fill="1A425A"/>
            <w:tcMar>
              <w:top w:w="80" w:type="dxa"/>
              <w:start w:w="90" w:type="dxa"/>
              <w:bottom w:w="80" w:type="dxa"/>
              <w:end w:w="90" w:type="dxa"/>
            </w:tcMar>
          </w:tcPr>
          <w:p>
            <w:pPr>
              <w:spacing w:after="0"/>
            </w:pPr>
            <w:r>
              <w:rPr>
                <w:b/>
                <w:color w:val="FFFFFF"/>
                <w:sz w:val="15"/>
              </w:rPr>
              <w:t>Level</w:t>
            </w:r>
          </w:p>
        </w:tc>
        <w:tc>
          <w:tcPr>
            <w:tcW w:type="dxa" w:w="979"/>
            <w:vAlign w:val="center"/>
            <w:shd w:fill="1A425A"/>
            <w:tcMar>
              <w:top w:w="80" w:type="dxa"/>
              <w:start w:w="90" w:type="dxa"/>
              <w:bottom w:w="80" w:type="dxa"/>
              <w:end w:w="90" w:type="dxa"/>
            </w:tcMar>
          </w:tcPr>
          <w:p>
            <w:pPr>
              <w:spacing w:after="0"/>
            </w:pPr>
            <w:r>
              <w:rPr>
                <w:b/>
                <w:color w:val="FFFFFF"/>
                <w:sz w:val="15"/>
              </w:rPr>
              <w:t>AI rule</w:t>
            </w:r>
          </w:p>
        </w:tc>
        <w:tc>
          <w:tcPr>
            <w:tcW w:type="dxa" w:w="1037"/>
            <w:vAlign w:val="center"/>
            <w:shd w:fill="1A425A"/>
            <w:tcMar>
              <w:top w:w="80" w:type="dxa"/>
              <w:start w:w="90" w:type="dxa"/>
              <w:bottom w:w="80" w:type="dxa"/>
              <w:end w:w="90" w:type="dxa"/>
            </w:tcMar>
          </w:tcPr>
          <w:p>
            <w:pPr>
              <w:spacing w:after="0"/>
            </w:pPr>
            <w:r>
              <w:rPr>
                <w:b/>
                <w:color w:val="FFFFFF"/>
                <w:sz w:val="15"/>
              </w:rPr>
              <w:t>Practice</w:t>
            </w:r>
          </w:p>
        </w:tc>
        <w:tc>
          <w:tcPr>
            <w:tcW w:type="dxa" w:w="1613"/>
            <w:vAlign w:val="center"/>
            <w:shd w:fill="1A425A"/>
            <w:tcMar>
              <w:top w:w="80" w:type="dxa"/>
              <w:start w:w="90" w:type="dxa"/>
              <w:bottom w:w="80" w:type="dxa"/>
              <w:end w:w="90" w:type="dxa"/>
            </w:tcMar>
          </w:tcPr>
          <w:p>
            <w:pPr>
              <w:spacing w:after="0"/>
            </w:pPr>
            <w:r>
              <w:rPr>
                <w:b/>
                <w:color w:val="FFFFFF"/>
                <w:sz w:val="15"/>
              </w:rPr>
              <w:t>Human measure</w:t>
            </w:r>
          </w:p>
        </w:tc>
        <w:tc>
          <w:tcPr>
            <w:tcW w:type="dxa" w:w="1037"/>
            <w:vAlign w:val="center"/>
            <w:shd w:fill="1A425A"/>
            <w:tcMar>
              <w:top w:w="80" w:type="dxa"/>
              <w:start w:w="90" w:type="dxa"/>
              <w:bottom w:w="80" w:type="dxa"/>
              <w:end w:w="90" w:type="dxa"/>
            </w:tcMar>
          </w:tcPr>
          <w:p>
            <w:pPr>
              <w:spacing w:after="0"/>
            </w:pPr>
            <w:r>
              <w:rPr>
                <w:b/>
                <w:color w:val="FFFFFF"/>
                <w:sz w:val="15"/>
              </w:rPr>
              <w:t>Outcome</w:t>
            </w:r>
          </w:p>
        </w:tc>
      </w:tr>
      <w:tr>
        <w:trPr>
          <w:cantSplit/>
        </w:trPr>
        <w:tc>
          <w:tcPr>
            <w:tcW w:type="dxa" w:w="2477"/>
            <w:vAlign w:val="center"/>
            <w:tcMar>
              <w:top w:w="80" w:type="dxa"/>
              <w:start w:w="90" w:type="dxa"/>
              <w:bottom w:w="80" w:type="dxa"/>
              <w:end w:w="90" w:type="dxa"/>
            </w:tcMar>
          </w:tcPr>
          <w:p>
            <w:pPr>
              <w:spacing w:after="0"/>
            </w:pPr>
            <w:r>
              <w:rPr>
                <w:b/>
                <w:sz w:val="15"/>
              </w:rPr>
              <w:t>UC Berkeley</w:t>
            </w:r>
          </w:p>
        </w:tc>
        <w:tc>
          <w:tcPr>
            <w:tcW w:type="dxa" w:w="1656"/>
            <w:vAlign w:val="center"/>
            <w:tcMar>
              <w:top w:w="80" w:type="dxa"/>
              <w:start w:w="90" w:type="dxa"/>
              <w:bottom w:w="80" w:type="dxa"/>
              <w:end w:w="90" w:type="dxa"/>
            </w:tcMar>
          </w:tcPr>
          <w:p>
            <w:pPr>
              <w:spacing w:after="0"/>
            </w:pPr>
            <w:r>
              <w:rPr>
                <w:sz w:val="15"/>
              </w:rPr>
              <w:t>Higher education</w:t>
            </w:r>
          </w:p>
        </w:tc>
        <w:tc>
          <w:tcPr>
            <w:tcW w:type="dxa" w:w="979"/>
            <w:vAlign w:val="center"/>
            <w:tcMar>
              <w:top w:w="80" w:type="dxa"/>
              <w:start w:w="90" w:type="dxa"/>
              <w:bottom w:w="80" w:type="dxa"/>
              <w:end w:w="90" w:type="dxa"/>
            </w:tcMar>
          </w:tcPr>
          <w:p>
            <w:pPr>
              <w:spacing w:after="0"/>
            </w:pPr>
            <w:r>
              <w:rPr>
                <w:sz w:val="15"/>
              </w:rPr>
              <w:t>V</w:t>
            </w:r>
          </w:p>
        </w:tc>
        <w:tc>
          <w:tcPr>
            <w:tcW w:type="dxa" w:w="1037"/>
            <w:vAlign w:val="center"/>
            <w:tcMar>
              <w:top w:w="80" w:type="dxa"/>
              <w:start w:w="90" w:type="dxa"/>
              <w:bottom w:w="80" w:type="dxa"/>
              <w:end w:w="90" w:type="dxa"/>
            </w:tcMar>
          </w:tcPr>
          <w:p>
            <w:pPr>
              <w:spacing w:after="0"/>
            </w:pPr>
            <w:r>
              <w:rPr>
                <w:sz w:val="15"/>
              </w:rPr>
              <w:t>P</w:t>
            </w:r>
          </w:p>
        </w:tc>
        <w:tc>
          <w:tcPr>
            <w:tcW w:type="dxa" w:w="1613"/>
            <w:vAlign w:val="center"/>
            <w:tcMar>
              <w:top w:w="80" w:type="dxa"/>
              <w:start w:w="90" w:type="dxa"/>
              <w:bottom w:w="80" w:type="dxa"/>
              <w:end w:w="90" w:type="dxa"/>
            </w:tcMar>
          </w:tcPr>
          <w:p>
            <w:pPr>
              <w:spacing w:after="0"/>
            </w:pPr>
            <w:r>
              <w:rPr>
                <w:sz w:val="15"/>
              </w:rPr>
              <w:t>PH-2</w:t>
            </w:r>
          </w:p>
        </w:tc>
        <w:tc>
          <w:tcPr>
            <w:tcW w:type="dxa" w:w="1037"/>
            <w:vAlign w:val="center"/>
            <w:tcMar>
              <w:top w:w="80" w:type="dxa"/>
              <w:start w:w="90" w:type="dxa"/>
              <w:bottom w:w="80" w:type="dxa"/>
              <w:end w:w="90" w:type="dxa"/>
            </w:tcMar>
          </w:tcPr>
          <w:p>
            <w:pPr>
              <w:spacing w:after="0"/>
            </w:pPr>
            <w:r>
              <w:rPr>
                <w:sz w:val="15"/>
              </w:rPr>
              <w:t>M</w:t>
            </w:r>
          </w:p>
        </w:tc>
      </w:tr>
      <w:tr>
        <w:trPr>
          <w:cantSplit/>
        </w:trPr>
        <w:tc>
          <w:tcPr>
            <w:tcW w:type="dxa" w:w="2477"/>
            <w:vAlign w:val="center"/>
            <w:tcMar>
              <w:top w:w="80" w:type="dxa"/>
              <w:start w:w="90" w:type="dxa"/>
              <w:bottom w:w="80" w:type="dxa"/>
              <w:end w:w="90" w:type="dxa"/>
            </w:tcMar>
            <w:shd w:fill="F5F7F8"/>
          </w:tcPr>
          <w:p>
            <w:pPr>
              <w:spacing w:after="0"/>
            </w:pPr>
            <w:r>
              <w:rPr>
                <w:b/>
                <w:sz w:val="15"/>
              </w:rPr>
              <w:t>UCLA</w:t>
            </w:r>
          </w:p>
        </w:tc>
        <w:tc>
          <w:tcPr>
            <w:tcW w:type="dxa" w:w="1656"/>
            <w:vAlign w:val="center"/>
            <w:tcMar>
              <w:top w:w="80" w:type="dxa"/>
              <w:start w:w="90" w:type="dxa"/>
              <w:bottom w:w="80" w:type="dxa"/>
              <w:end w:w="90" w:type="dxa"/>
            </w:tcMar>
            <w:shd w:fill="F5F7F8"/>
          </w:tcPr>
          <w:p>
            <w:pPr>
              <w:spacing w:after="0"/>
            </w:pPr>
            <w:r>
              <w:rPr>
                <w:sz w:val="15"/>
              </w:rPr>
              <w:t>Higher education</w:t>
            </w:r>
          </w:p>
        </w:tc>
        <w:tc>
          <w:tcPr>
            <w:tcW w:type="dxa" w:w="979"/>
            <w:vAlign w:val="center"/>
            <w:tcMar>
              <w:top w:w="80" w:type="dxa"/>
              <w:start w:w="90" w:type="dxa"/>
              <w:bottom w:w="80" w:type="dxa"/>
              <w:end w:w="90" w:type="dxa"/>
            </w:tcMar>
            <w:shd w:fill="F5F7F8"/>
          </w:tcPr>
          <w:p>
            <w:pPr>
              <w:spacing w:after="0"/>
            </w:pPr>
            <w:r>
              <w:rPr>
                <w:sz w:val="15"/>
              </w:rPr>
              <w:t>V</w:t>
            </w:r>
          </w:p>
        </w:tc>
        <w:tc>
          <w:tcPr>
            <w:tcW w:type="dxa" w:w="1037"/>
            <w:vAlign w:val="center"/>
            <w:tcMar>
              <w:top w:w="80" w:type="dxa"/>
              <w:start w:w="90" w:type="dxa"/>
              <w:bottom w:w="80" w:type="dxa"/>
              <w:end w:w="90" w:type="dxa"/>
            </w:tcMar>
            <w:shd w:fill="F5F7F8"/>
          </w:tcPr>
          <w:p>
            <w:pPr>
              <w:spacing w:after="0"/>
            </w:pPr>
            <w:r>
              <w:rPr>
                <w:sz w:val="15"/>
              </w:rPr>
              <w:t>P</w:t>
            </w:r>
          </w:p>
        </w:tc>
        <w:tc>
          <w:tcPr>
            <w:tcW w:type="dxa" w:w="1613"/>
            <w:vAlign w:val="center"/>
            <w:tcMar>
              <w:top w:w="80" w:type="dxa"/>
              <w:start w:w="90" w:type="dxa"/>
              <w:bottom w:w="80" w:type="dxa"/>
              <w:end w:w="90" w:type="dxa"/>
            </w:tcMar>
            <w:shd w:fill="F5F7F8"/>
          </w:tcPr>
          <w:p>
            <w:pPr>
              <w:spacing w:after="0"/>
            </w:pPr>
            <w:r>
              <w:rPr>
                <w:sz w:val="15"/>
              </w:rPr>
              <w:t>PH-1</w:t>
            </w:r>
          </w:p>
        </w:tc>
        <w:tc>
          <w:tcPr>
            <w:tcW w:type="dxa" w:w="1037"/>
            <w:vAlign w:val="center"/>
            <w:tcMar>
              <w:top w:w="80" w:type="dxa"/>
              <w:start w:w="90" w:type="dxa"/>
              <w:bottom w:w="80" w:type="dxa"/>
              <w:end w:w="90" w:type="dxa"/>
            </w:tcMar>
            <w:shd w:fill="F5F7F8"/>
          </w:tcPr>
          <w:p>
            <w:pPr>
              <w:spacing w:after="0"/>
            </w:pPr>
            <w:r>
              <w:rPr>
                <w:sz w:val="15"/>
              </w:rPr>
              <w:t>M</w:t>
            </w:r>
          </w:p>
        </w:tc>
      </w:tr>
      <w:tr>
        <w:trPr>
          <w:cantSplit/>
        </w:trPr>
        <w:tc>
          <w:tcPr>
            <w:tcW w:type="dxa" w:w="2477"/>
            <w:vAlign w:val="center"/>
            <w:tcMar>
              <w:top w:w="80" w:type="dxa"/>
              <w:start w:w="90" w:type="dxa"/>
              <w:bottom w:w="80" w:type="dxa"/>
              <w:end w:w="90" w:type="dxa"/>
            </w:tcMar>
          </w:tcPr>
          <w:p>
            <w:pPr>
              <w:spacing w:after="0"/>
            </w:pPr>
            <w:r>
              <w:rPr>
                <w:b/>
                <w:sz w:val="15"/>
              </w:rPr>
              <w:t>Stanford University</w:t>
            </w:r>
          </w:p>
        </w:tc>
        <w:tc>
          <w:tcPr>
            <w:tcW w:type="dxa" w:w="1656"/>
            <w:vAlign w:val="center"/>
            <w:tcMar>
              <w:top w:w="80" w:type="dxa"/>
              <w:start w:w="90" w:type="dxa"/>
              <w:bottom w:w="80" w:type="dxa"/>
              <w:end w:w="90" w:type="dxa"/>
            </w:tcMar>
          </w:tcPr>
          <w:p>
            <w:pPr>
              <w:spacing w:after="0"/>
            </w:pPr>
            <w:r>
              <w:rPr>
                <w:sz w:val="15"/>
              </w:rPr>
              <w:t>Higher education</w:t>
            </w:r>
          </w:p>
        </w:tc>
        <w:tc>
          <w:tcPr>
            <w:tcW w:type="dxa" w:w="979"/>
            <w:vAlign w:val="center"/>
            <w:tcMar>
              <w:top w:w="80" w:type="dxa"/>
              <w:start w:w="90" w:type="dxa"/>
              <w:bottom w:w="80" w:type="dxa"/>
              <w:end w:w="90" w:type="dxa"/>
            </w:tcMar>
          </w:tcPr>
          <w:p>
            <w:pPr>
              <w:spacing w:after="0"/>
            </w:pPr>
            <w:r>
              <w:rPr>
                <w:sz w:val="15"/>
              </w:rPr>
              <w:t>V</w:t>
            </w:r>
          </w:p>
        </w:tc>
        <w:tc>
          <w:tcPr>
            <w:tcW w:type="dxa" w:w="1037"/>
            <w:vAlign w:val="center"/>
            <w:tcMar>
              <w:top w:w="80" w:type="dxa"/>
              <w:start w:w="90" w:type="dxa"/>
              <w:bottom w:w="80" w:type="dxa"/>
              <w:end w:w="90" w:type="dxa"/>
            </w:tcMar>
          </w:tcPr>
          <w:p>
            <w:pPr>
              <w:spacing w:after="0"/>
            </w:pPr>
            <w:r>
              <w:rPr>
                <w:sz w:val="15"/>
              </w:rPr>
              <w:t>P</w:t>
            </w:r>
          </w:p>
        </w:tc>
        <w:tc>
          <w:tcPr>
            <w:tcW w:type="dxa" w:w="1613"/>
            <w:vAlign w:val="center"/>
            <w:tcMar>
              <w:top w:w="80" w:type="dxa"/>
              <w:start w:w="90" w:type="dxa"/>
              <w:bottom w:w="80" w:type="dxa"/>
              <w:end w:w="90" w:type="dxa"/>
            </w:tcMar>
          </w:tcPr>
          <w:p>
            <w:pPr>
              <w:spacing w:after="0"/>
            </w:pPr>
            <w:r>
              <w:rPr>
                <w:sz w:val="15"/>
              </w:rPr>
              <w:t>PH-1</w:t>
            </w:r>
          </w:p>
        </w:tc>
        <w:tc>
          <w:tcPr>
            <w:tcW w:type="dxa" w:w="1037"/>
            <w:vAlign w:val="center"/>
            <w:tcMar>
              <w:top w:w="80" w:type="dxa"/>
              <w:start w:w="90" w:type="dxa"/>
              <w:bottom w:w="80" w:type="dxa"/>
              <w:end w:w="90" w:type="dxa"/>
            </w:tcMar>
          </w:tcPr>
          <w:p>
            <w:pPr>
              <w:spacing w:after="0"/>
            </w:pPr>
            <w:r>
              <w:rPr>
                <w:sz w:val="15"/>
              </w:rPr>
              <w:t>M</w:t>
            </w:r>
          </w:p>
        </w:tc>
      </w:tr>
      <w:tr>
        <w:trPr>
          <w:cantSplit/>
        </w:trPr>
        <w:tc>
          <w:tcPr>
            <w:tcW w:type="dxa" w:w="2477"/>
            <w:vAlign w:val="center"/>
            <w:tcMar>
              <w:top w:w="80" w:type="dxa"/>
              <w:start w:w="90" w:type="dxa"/>
              <w:bottom w:w="80" w:type="dxa"/>
              <w:end w:w="90" w:type="dxa"/>
            </w:tcMar>
            <w:shd w:fill="F5F7F8"/>
          </w:tcPr>
          <w:p>
            <w:pPr>
              <w:spacing w:after="0"/>
            </w:pPr>
            <w:r>
              <w:rPr>
                <w:b/>
                <w:sz w:val="15"/>
              </w:rPr>
              <w:t>University of Southern California</w:t>
            </w:r>
          </w:p>
        </w:tc>
        <w:tc>
          <w:tcPr>
            <w:tcW w:type="dxa" w:w="1656"/>
            <w:vAlign w:val="center"/>
            <w:tcMar>
              <w:top w:w="80" w:type="dxa"/>
              <w:start w:w="90" w:type="dxa"/>
              <w:bottom w:w="80" w:type="dxa"/>
              <w:end w:w="90" w:type="dxa"/>
            </w:tcMar>
            <w:shd w:fill="F5F7F8"/>
          </w:tcPr>
          <w:p>
            <w:pPr>
              <w:spacing w:after="0"/>
            </w:pPr>
            <w:r>
              <w:rPr>
                <w:sz w:val="15"/>
              </w:rPr>
              <w:t>Higher education</w:t>
            </w:r>
          </w:p>
        </w:tc>
        <w:tc>
          <w:tcPr>
            <w:tcW w:type="dxa" w:w="979"/>
            <w:vAlign w:val="center"/>
            <w:tcMar>
              <w:top w:w="80" w:type="dxa"/>
              <w:start w:w="90" w:type="dxa"/>
              <w:bottom w:w="80" w:type="dxa"/>
              <w:end w:w="90" w:type="dxa"/>
            </w:tcMar>
            <w:shd w:fill="F5F7F8"/>
          </w:tcPr>
          <w:p>
            <w:pPr>
              <w:spacing w:after="0"/>
            </w:pPr>
            <w:r>
              <w:rPr>
                <w:sz w:val="15"/>
              </w:rPr>
              <w:t>V</w:t>
            </w:r>
          </w:p>
        </w:tc>
        <w:tc>
          <w:tcPr>
            <w:tcW w:type="dxa" w:w="1037"/>
            <w:vAlign w:val="center"/>
            <w:tcMar>
              <w:top w:w="80" w:type="dxa"/>
              <w:start w:w="90" w:type="dxa"/>
              <w:bottom w:w="80" w:type="dxa"/>
              <w:end w:w="90" w:type="dxa"/>
            </w:tcMar>
            <w:shd w:fill="F5F7F8"/>
          </w:tcPr>
          <w:p>
            <w:pPr>
              <w:spacing w:after="0"/>
            </w:pPr>
            <w:r>
              <w:rPr>
                <w:sz w:val="15"/>
              </w:rPr>
              <w:t>P</w:t>
            </w:r>
          </w:p>
        </w:tc>
        <w:tc>
          <w:tcPr>
            <w:tcW w:type="dxa" w:w="1613"/>
            <w:vAlign w:val="center"/>
            <w:tcMar>
              <w:top w:w="80" w:type="dxa"/>
              <w:start w:w="90" w:type="dxa"/>
              <w:bottom w:w="80" w:type="dxa"/>
              <w:end w:w="90" w:type="dxa"/>
            </w:tcMar>
            <w:shd w:fill="F5F7F8"/>
          </w:tcPr>
          <w:p>
            <w:pPr>
              <w:spacing w:after="0"/>
            </w:pPr>
            <w:r>
              <w:rPr>
                <w:sz w:val="15"/>
              </w:rPr>
              <w:t>PH-1</w:t>
            </w:r>
          </w:p>
        </w:tc>
        <w:tc>
          <w:tcPr>
            <w:tcW w:type="dxa" w:w="1037"/>
            <w:vAlign w:val="center"/>
            <w:tcMar>
              <w:top w:w="80" w:type="dxa"/>
              <w:start w:w="90" w:type="dxa"/>
              <w:bottom w:w="80" w:type="dxa"/>
              <w:end w:w="90" w:type="dxa"/>
            </w:tcMar>
            <w:shd w:fill="F5F7F8"/>
          </w:tcPr>
          <w:p>
            <w:pPr>
              <w:spacing w:after="0"/>
            </w:pPr>
            <w:r>
              <w:rPr>
                <w:sz w:val="15"/>
              </w:rPr>
              <w:t>M</w:t>
            </w:r>
          </w:p>
        </w:tc>
      </w:tr>
      <w:tr>
        <w:trPr>
          <w:cantSplit/>
        </w:trPr>
        <w:tc>
          <w:tcPr>
            <w:tcW w:type="dxa" w:w="2477"/>
            <w:vAlign w:val="center"/>
            <w:tcMar>
              <w:top w:w="80" w:type="dxa"/>
              <w:start w:w="90" w:type="dxa"/>
              <w:bottom w:w="80" w:type="dxa"/>
              <w:end w:w="90" w:type="dxa"/>
            </w:tcMar>
          </w:tcPr>
          <w:p>
            <w:pPr>
              <w:spacing w:after="0"/>
            </w:pPr>
            <w:r>
              <w:rPr>
                <w:b/>
                <w:sz w:val="15"/>
              </w:rPr>
              <w:t>California Institute of Technology</w:t>
            </w:r>
          </w:p>
        </w:tc>
        <w:tc>
          <w:tcPr>
            <w:tcW w:type="dxa" w:w="1656"/>
            <w:vAlign w:val="center"/>
            <w:tcMar>
              <w:top w:w="80" w:type="dxa"/>
              <w:start w:w="90" w:type="dxa"/>
              <w:bottom w:w="80" w:type="dxa"/>
              <w:end w:w="90" w:type="dxa"/>
            </w:tcMar>
          </w:tcPr>
          <w:p>
            <w:pPr>
              <w:spacing w:after="0"/>
            </w:pPr>
            <w:r>
              <w:rPr>
                <w:sz w:val="15"/>
              </w:rPr>
              <w:t>Higher education</w:t>
            </w:r>
          </w:p>
        </w:tc>
        <w:tc>
          <w:tcPr>
            <w:tcW w:type="dxa" w:w="979"/>
            <w:vAlign w:val="center"/>
            <w:tcMar>
              <w:top w:w="80" w:type="dxa"/>
              <w:start w:w="90" w:type="dxa"/>
              <w:bottom w:w="80" w:type="dxa"/>
              <w:end w:w="90" w:type="dxa"/>
            </w:tcMar>
          </w:tcPr>
          <w:p>
            <w:pPr>
              <w:spacing w:after="0"/>
            </w:pPr>
            <w:r>
              <w:rPr>
                <w:sz w:val="15"/>
              </w:rPr>
              <w:t>V</w:t>
            </w:r>
          </w:p>
        </w:tc>
        <w:tc>
          <w:tcPr>
            <w:tcW w:type="dxa" w:w="1037"/>
            <w:vAlign w:val="center"/>
            <w:tcMar>
              <w:top w:w="80" w:type="dxa"/>
              <w:start w:w="90" w:type="dxa"/>
              <w:bottom w:w="80" w:type="dxa"/>
              <w:end w:w="90" w:type="dxa"/>
            </w:tcMar>
          </w:tcPr>
          <w:p>
            <w:pPr>
              <w:spacing w:after="0"/>
            </w:pPr>
            <w:r>
              <w:rPr>
                <w:sz w:val="15"/>
              </w:rPr>
              <w:t>P</w:t>
            </w:r>
          </w:p>
        </w:tc>
        <w:tc>
          <w:tcPr>
            <w:tcW w:type="dxa" w:w="1613"/>
            <w:vAlign w:val="center"/>
            <w:tcMar>
              <w:top w:w="80" w:type="dxa"/>
              <w:start w:w="90" w:type="dxa"/>
              <w:bottom w:w="80" w:type="dxa"/>
              <w:end w:w="90" w:type="dxa"/>
            </w:tcMar>
          </w:tcPr>
          <w:p>
            <w:pPr>
              <w:spacing w:after="0"/>
            </w:pPr>
            <w:r>
              <w:rPr>
                <w:sz w:val="15"/>
              </w:rPr>
              <w:t>PH-2</w:t>
            </w:r>
          </w:p>
        </w:tc>
        <w:tc>
          <w:tcPr>
            <w:tcW w:type="dxa" w:w="1037"/>
            <w:vAlign w:val="center"/>
            <w:tcMar>
              <w:top w:w="80" w:type="dxa"/>
              <w:start w:w="90" w:type="dxa"/>
              <w:bottom w:w="80" w:type="dxa"/>
              <w:end w:w="90" w:type="dxa"/>
            </w:tcMar>
          </w:tcPr>
          <w:p>
            <w:pPr>
              <w:spacing w:after="0"/>
            </w:pPr>
            <w:r>
              <w:rPr>
                <w:sz w:val="15"/>
              </w:rPr>
              <w:t>M</w:t>
            </w:r>
          </w:p>
        </w:tc>
      </w:tr>
      <w:tr>
        <w:trPr>
          <w:cantSplit/>
        </w:trPr>
        <w:tc>
          <w:tcPr>
            <w:tcW w:type="dxa" w:w="2477"/>
            <w:vAlign w:val="center"/>
            <w:tcMar>
              <w:top w:w="80" w:type="dxa"/>
              <w:start w:w="90" w:type="dxa"/>
              <w:bottom w:w="80" w:type="dxa"/>
              <w:end w:w="90" w:type="dxa"/>
            </w:tcMar>
            <w:shd w:fill="F5F7F8"/>
          </w:tcPr>
          <w:p>
            <w:pPr>
              <w:spacing w:after="0"/>
            </w:pPr>
            <w:r>
              <w:rPr>
                <w:b/>
                <w:sz w:val="15"/>
              </w:rPr>
              <w:t>Loyola Marymount University</w:t>
            </w:r>
          </w:p>
        </w:tc>
        <w:tc>
          <w:tcPr>
            <w:tcW w:type="dxa" w:w="1656"/>
            <w:vAlign w:val="center"/>
            <w:tcMar>
              <w:top w:w="80" w:type="dxa"/>
              <w:start w:w="90" w:type="dxa"/>
              <w:bottom w:w="80" w:type="dxa"/>
              <w:end w:w="90" w:type="dxa"/>
            </w:tcMar>
            <w:shd w:fill="F5F7F8"/>
          </w:tcPr>
          <w:p>
            <w:pPr>
              <w:spacing w:after="0"/>
            </w:pPr>
            <w:r>
              <w:rPr>
                <w:sz w:val="15"/>
              </w:rPr>
              <w:t>Higher education</w:t>
            </w:r>
          </w:p>
        </w:tc>
        <w:tc>
          <w:tcPr>
            <w:tcW w:type="dxa" w:w="979"/>
            <w:vAlign w:val="center"/>
            <w:tcMar>
              <w:top w:w="80" w:type="dxa"/>
              <w:start w:w="90" w:type="dxa"/>
              <w:bottom w:w="80" w:type="dxa"/>
              <w:end w:w="90" w:type="dxa"/>
            </w:tcMar>
            <w:shd w:fill="F5F7F8"/>
          </w:tcPr>
          <w:p>
            <w:pPr>
              <w:spacing w:after="0"/>
            </w:pPr>
            <w:r>
              <w:rPr>
                <w:sz w:val="15"/>
              </w:rPr>
              <w:t>V</w:t>
            </w:r>
          </w:p>
        </w:tc>
        <w:tc>
          <w:tcPr>
            <w:tcW w:type="dxa" w:w="1037"/>
            <w:vAlign w:val="center"/>
            <w:tcMar>
              <w:top w:w="80" w:type="dxa"/>
              <w:start w:w="90" w:type="dxa"/>
              <w:bottom w:w="80" w:type="dxa"/>
              <w:end w:w="90" w:type="dxa"/>
            </w:tcMar>
            <w:shd w:fill="F5F7F8"/>
          </w:tcPr>
          <w:p>
            <w:pPr>
              <w:spacing w:after="0"/>
            </w:pPr>
            <w:r>
              <w:rPr>
                <w:sz w:val="15"/>
              </w:rPr>
              <w:t>P</w:t>
            </w:r>
          </w:p>
        </w:tc>
        <w:tc>
          <w:tcPr>
            <w:tcW w:type="dxa" w:w="1613"/>
            <w:vAlign w:val="center"/>
            <w:tcMar>
              <w:top w:w="80" w:type="dxa"/>
              <w:start w:w="90" w:type="dxa"/>
              <w:bottom w:w="80" w:type="dxa"/>
              <w:end w:w="90" w:type="dxa"/>
            </w:tcMar>
            <w:shd w:fill="F5F7F8"/>
          </w:tcPr>
          <w:p>
            <w:pPr>
              <w:spacing w:after="0"/>
            </w:pPr>
            <w:r>
              <w:rPr>
                <w:sz w:val="15"/>
              </w:rPr>
              <w:t>PH-2</w:t>
            </w:r>
          </w:p>
        </w:tc>
        <w:tc>
          <w:tcPr>
            <w:tcW w:type="dxa" w:w="1037"/>
            <w:vAlign w:val="center"/>
            <w:tcMar>
              <w:top w:w="80" w:type="dxa"/>
              <w:start w:w="90" w:type="dxa"/>
              <w:bottom w:w="80" w:type="dxa"/>
              <w:end w:w="90" w:type="dxa"/>
            </w:tcMar>
            <w:shd w:fill="F5F7F8"/>
          </w:tcPr>
          <w:p>
            <w:pPr>
              <w:spacing w:after="0"/>
            </w:pPr>
            <w:r>
              <w:rPr>
                <w:sz w:val="15"/>
              </w:rPr>
              <w:t>M</w:t>
            </w:r>
          </w:p>
        </w:tc>
      </w:tr>
      <w:tr>
        <w:trPr>
          <w:cantSplit/>
        </w:trPr>
        <w:tc>
          <w:tcPr>
            <w:tcW w:type="dxa" w:w="2477"/>
            <w:vAlign w:val="center"/>
            <w:tcMar>
              <w:top w:w="80" w:type="dxa"/>
              <w:start w:w="90" w:type="dxa"/>
              <w:bottom w:w="80" w:type="dxa"/>
              <w:end w:w="90" w:type="dxa"/>
            </w:tcMar>
          </w:tcPr>
          <w:p>
            <w:pPr>
              <w:spacing w:after="0"/>
            </w:pPr>
            <w:r>
              <w:rPr>
                <w:b/>
                <w:sz w:val="15"/>
              </w:rPr>
              <w:t>Thomas Aquinas College</w:t>
            </w:r>
          </w:p>
        </w:tc>
        <w:tc>
          <w:tcPr>
            <w:tcW w:type="dxa" w:w="1656"/>
            <w:vAlign w:val="center"/>
            <w:tcMar>
              <w:top w:w="80" w:type="dxa"/>
              <w:start w:w="90" w:type="dxa"/>
              <w:bottom w:w="80" w:type="dxa"/>
              <w:end w:w="90" w:type="dxa"/>
            </w:tcMar>
          </w:tcPr>
          <w:p>
            <w:pPr>
              <w:spacing w:after="0"/>
            </w:pPr>
            <w:r>
              <w:rPr>
                <w:sz w:val="15"/>
              </w:rPr>
              <w:t>Higher education</w:t>
            </w:r>
          </w:p>
        </w:tc>
        <w:tc>
          <w:tcPr>
            <w:tcW w:type="dxa" w:w="979"/>
            <w:vAlign w:val="center"/>
            <w:tcMar>
              <w:top w:w="80" w:type="dxa"/>
              <w:start w:w="90" w:type="dxa"/>
              <w:bottom w:w="80" w:type="dxa"/>
              <w:end w:w="90" w:type="dxa"/>
            </w:tcMar>
          </w:tcPr>
          <w:p>
            <w:pPr>
              <w:spacing w:after="0"/>
            </w:pPr>
            <w:r>
              <w:rPr>
                <w:sz w:val="15"/>
              </w:rPr>
              <w:t>V/S</w:t>
            </w:r>
          </w:p>
        </w:tc>
        <w:tc>
          <w:tcPr>
            <w:tcW w:type="dxa" w:w="1037"/>
            <w:vAlign w:val="center"/>
            <w:tcMar>
              <w:top w:w="80" w:type="dxa"/>
              <w:start w:w="90" w:type="dxa"/>
              <w:bottom w:w="80" w:type="dxa"/>
              <w:end w:w="90" w:type="dxa"/>
            </w:tcMar>
          </w:tcPr>
          <w:p>
            <w:pPr>
              <w:spacing w:after="0"/>
            </w:pPr>
            <w:r>
              <w:rPr>
                <w:sz w:val="15"/>
              </w:rPr>
              <w:t>P</w:t>
            </w:r>
          </w:p>
        </w:tc>
        <w:tc>
          <w:tcPr>
            <w:tcW w:type="dxa" w:w="1613"/>
            <w:vAlign w:val="center"/>
            <w:tcMar>
              <w:top w:w="80" w:type="dxa"/>
              <w:start w:w="90" w:type="dxa"/>
              <w:bottom w:w="80" w:type="dxa"/>
              <w:end w:w="90" w:type="dxa"/>
            </w:tcMar>
          </w:tcPr>
          <w:p>
            <w:pPr>
              <w:spacing w:after="0"/>
            </w:pPr>
            <w:r>
              <w:rPr>
                <w:sz w:val="15"/>
              </w:rPr>
              <w:t>PH-2</w:t>
            </w:r>
          </w:p>
        </w:tc>
        <w:tc>
          <w:tcPr>
            <w:tcW w:type="dxa" w:w="1037"/>
            <w:vAlign w:val="center"/>
            <w:tcMar>
              <w:top w:w="80" w:type="dxa"/>
              <w:start w:w="90" w:type="dxa"/>
              <w:bottom w:w="80" w:type="dxa"/>
              <w:end w:w="90" w:type="dxa"/>
            </w:tcMar>
          </w:tcPr>
          <w:p>
            <w:pPr>
              <w:spacing w:after="0"/>
            </w:pPr>
            <w:r>
              <w:rPr>
                <w:sz w:val="15"/>
              </w:rPr>
              <w:t>M</w:t>
            </w:r>
          </w:p>
        </w:tc>
      </w:tr>
      <w:tr>
        <w:trPr>
          <w:cantSplit/>
        </w:trPr>
        <w:tc>
          <w:tcPr>
            <w:tcW w:type="dxa" w:w="2477"/>
            <w:vAlign w:val="center"/>
            <w:tcMar>
              <w:top w:w="80" w:type="dxa"/>
              <w:start w:w="90" w:type="dxa"/>
              <w:bottom w:w="80" w:type="dxa"/>
              <w:end w:w="90" w:type="dxa"/>
            </w:tcMar>
            <w:shd w:fill="F5F7F8"/>
          </w:tcPr>
          <w:p>
            <w:pPr>
              <w:spacing w:after="0"/>
            </w:pPr>
            <w:r>
              <w:rPr>
                <w:b/>
                <w:sz w:val="15"/>
              </w:rPr>
              <w:t>Mother of Divine Grace School</w:t>
            </w:r>
          </w:p>
        </w:tc>
        <w:tc>
          <w:tcPr>
            <w:tcW w:type="dxa" w:w="1656"/>
            <w:vAlign w:val="center"/>
            <w:tcMar>
              <w:top w:w="80" w:type="dxa"/>
              <w:start w:w="90" w:type="dxa"/>
              <w:bottom w:w="80" w:type="dxa"/>
              <w:end w:w="90" w:type="dxa"/>
            </w:tcMar>
            <w:shd w:fill="F5F7F8"/>
          </w:tcPr>
          <w:p>
            <w:pPr>
              <w:spacing w:after="0"/>
            </w:pPr>
            <w:r>
              <w:rPr>
                <w:sz w:val="15"/>
              </w:rPr>
              <w:t>K through 12</w:t>
            </w:r>
          </w:p>
        </w:tc>
        <w:tc>
          <w:tcPr>
            <w:tcW w:type="dxa" w:w="979"/>
            <w:vAlign w:val="center"/>
            <w:tcMar>
              <w:top w:w="80" w:type="dxa"/>
              <w:start w:w="90" w:type="dxa"/>
              <w:bottom w:w="80" w:type="dxa"/>
              <w:end w:w="90" w:type="dxa"/>
            </w:tcMar>
            <w:shd w:fill="F5F7F8"/>
          </w:tcPr>
          <w:p>
            <w:pPr>
              <w:spacing w:after="0"/>
            </w:pPr>
            <w:r>
              <w:rPr>
                <w:sz w:val="15"/>
              </w:rPr>
              <w:t>M</w:t>
            </w:r>
          </w:p>
        </w:tc>
        <w:tc>
          <w:tcPr>
            <w:tcW w:type="dxa" w:w="1037"/>
            <w:vAlign w:val="center"/>
            <w:tcMar>
              <w:top w:w="80" w:type="dxa"/>
              <w:start w:w="90" w:type="dxa"/>
              <w:bottom w:w="80" w:type="dxa"/>
              <w:end w:w="90" w:type="dxa"/>
            </w:tcMar>
            <w:shd w:fill="F5F7F8"/>
          </w:tcPr>
          <w:p>
            <w:pPr>
              <w:spacing w:after="0"/>
            </w:pPr>
            <w:r>
              <w:rPr>
                <w:sz w:val="15"/>
              </w:rPr>
              <w:t>P</w:t>
            </w:r>
          </w:p>
        </w:tc>
        <w:tc>
          <w:tcPr>
            <w:tcW w:type="dxa" w:w="1613"/>
            <w:vAlign w:val="center"/>
            <w:tcMar>
              <w:top w:w="80" w:type="dxa"/>
              <w:start w:w="90" w:type="dxa"/>
              <w:bottom w:w="80" w:type="dxa"/>
              <w:end w:w="90" w:type="dxa"/>
            </w:tcMar>
            <w:shd w:fill="F5F7F8"/>
          </w:tcPr>
          <w:p>
            <w:pPr>
              <w:spacing w:after="0"/>
            </w:pPr>
            <w:r>
              <w:rPr>
                <w:sz w:val="15"/>
              </w:rPr>
              <w:t>PH-2</w:t>
            </w:r>
          </w:p>
        </w:tc>
        <w:tc>
          <w:tcPr>
            <w:tcW w:type="dxa" w:w="1037"/>
            <w:vAlign w:val="center"/>
            <w:tcMar>
              <w:top w:w="80" w:type="dxa"/>
              <w:start w:w="90" w:type="dxa"/>
              <w:bottom w:w="80" w:type="dxa"/>
              <w:end w:w="90" w:type="dxa"/>
            </w:tcMar>
            <w:shd w:fill="F5F7F8"/>
          </w:tcPr>
          <w:p>
            <w:pPr>
              <w:spacing w:after="0"/>
            </w:pPr>
            <w:r>
              <w:rPr>
                <w:sz w:val="15"/>
              </w:rPr>
              <w:t>M</w:t>
            </w:r>
          </w:p>
        </w:tc>
      </w:tr>
      <w:tr>
        <w:trPr>
          <w:cantSplit/>
        </w:trPr>
        <w:tc>
          <w:tcPr>
            <w:tcW w:type="dxa" w:w="2477"/>
            <w:vAlign w:val="center"/>
            <w:tcMar>
              <w:top w:w="80" w:type="dxa"/>
              <w:start w:w="90" w:type="dxa"/>
              <w:bottom w:w="80" w:type="dxa"/>
              <w:end w:w="90" w:type="dxa"/>
            </w:tcMar>
          </w:tcPr>
          <w:p>
            <w:pPr>
              <w:spacing w:after="0"/>
            </w:pPr>
            <w:r>
              <w:rPr>
                <w:b/>
                <w:sz w:val="15"/>
              </w:rPr>
              <w:t>Harvard-Westlake School</w:t>
            </w:r>
          </w:p>
        </w:tc>
        <w:tc>
          <w:tcPr>
            <w:tcW w:type="dxa" w:w="1656"/>
            <w:vAlign w:val="center"/>
            <w:tcMar>
              <w:top w:w="80" w:type="dxa"/>
              <w:start w:w="90" w:type="dxa"/>
              <w:bottom w:w="80" w:type="dxa"/>
              <w:end w:w="90" w:type="dxa"/>
            </w:tcMar>
          </w:tcPr>
          <w:p>
            <w:pPr>
              <w:spacing w:after="0"/>
            </w:pPr>
            <w:r>
              <w:rPr>
                <w:sz w:val="15"/>
              </w:rPr>
              <w:t>Grades 7 through 12</w:t>
            </w:r>
          </w:p>
        </w:tc>
        <w:tc>
          <w:tcPr>
            <w:tcW w:type="dxa" w:w="979"/>
            <w:vAlign w:val="center"/>
            <w:tcMar>
              <w:top w:w="80" w:type="dxa"/>
              <w:start w:w="90" w:type="dxa"/>
              <w:bottom w:w="80" w:type="dxa"/>
              <w:end w:w="90" w:type="dxa"/>
            </w:tcMar>
          </w:tcPr>
          <w:p>
            <w:pPr>
              <w:spacing w:after="0"/>
            </w:pPr>
            <w:r>
              <w:rPr>
                <w:sz w:val="15"/>
              </w:rPr>
              <w:t>M</w:t>
            </w:r>
          </w:p>
        </w:tc>
        <w:tc>
          <w:tcPr>
            <w:tcW w:type="dxa" w:w="1037"/>
            <w:vAlign w:val="center"/>
            <w:tcMar>
              <w:top w:w="80" w:type="dxa"/>
              <w:start w:w="90" w:type="dxa"/>
              <w:bottom w:w="80" w:type="dxa"/>
              <w:end w:w="90" w:type="dxa"/>
            </w:tcMar>
          </w:tcPr>
          <w:p>
            <w:pPr>
              <w:spacing w:after="0"/>
            </w:pPr>
            <w:r>
              <w:rPr>
                <w:sz w:val="15"/>
              </w:rPr>
              <w:t>P</w:t>
            </w:r>
          </w:p>
        </w:tc>
        <w:tc>
          <w:tcPr>
            <w:tcW w:type="dxa" w:w="1613"/>
            <w:vAlign w:val="center"/>
            <w:tcMar>
              <w:top w:w="80" w:type="dxa"/>
              <w:start w:w="90" w:type="dxa"/>
              <w:bottom w:w="80" w:type="dxa"/>
              <w:end w:w="90" w:type="dxa"/>
            </w:tcMar>
          </w:tcPr>
          <w:p>
            <w:pPr>
              <w:spacing w:after="0"/>
            </w:pPr>
            <w:r>
              <w:rPr>
                <w:sz w:val="15"/>
              </w:rPr>
              <w:t>PH-1</w:t>
            </w:r>
          </w:p>
        </w:tc>
        <w:tc>
          <w:tcPr>
            <w:tcW w:type="dxa" w:w="1037"/>
            <w:vAlign w:val="center"/>
            <w:tcMar>
              <w:top w:w="80" w:type="dxa"/>
              <w:start w:w="90" w:type="dxa"/>
              <w:bottom w:w="80" w:type="dxa"/>
              <w:end w:w="90" w:type="dxa"/>
            </w:tcMar>
          </w:tcPr>
          <w:p>
            <w:pPr>
              <w:spacing w:after="0"/>
            </w:pPr>
            <w:r>
              <w:rPr>
                <w:sz w:val="15"/>
              </w:rPr>
              <w:t>M</w:t>
            </w:r>
          </w:p>
        </w:tc>
      </w:tr>
      <w:tr>
        <w:trPr>
          <w:cantSplit/>
        </w:trPr>
        <w:tc>
          <w:tcPr>
            <w:tcW w:type="dxa" w:w="2477"/>
            <w:vAlign w:val="center"/>
            <w:tcMar>
              <w:top w:w="80" w:type="dxa"/>
              <w:start w:w="90" w:type="dxa"/>
              <w:bottom w:w="80" w:type="dxa"/>
              <w:end w:w="90" w:type="dxa"/>
            </w:tcMar>
            <w:shd w:fill="F5F7F8"/>
          </w:tcPr>
          <w:p>
            <w:pPr>
              <w:spacing w:after="0"/>
            </w:pPr>
            <w:r>
              <w:rPr>
                <w:b/>
                <w:sz w:val="15"/>
              </w:rPr>
              <w:t>High Tech High</w:t>
            </w:r>
          </w:p>
        </w:tc>
        <w:tc>
          <w:tcPr>
            <w:tcW w:type="dxa" w:w="1656"/>
            <w:vAlign w:val="center"/>
            <w:tcMar>
              <w:top w:w="80" w:type="dxa"/>
              <w:start w:w="90" w:type="dxa"/>
              <w:bottom w:w="80" w:type="dxa"/>
              <w:end w:w="90" w:type="dxa"/>
            </w:tcMar>
            <w:shd w:fill="F5F7F8"/>
          </w:tcPr>
          <w:p>
            <w:pPr>
              <w:spacing w:after="0"/>
            </w:pPr>
            <w:r>
              <w:rPr>
                <w:sz w:val="15"/>
              </w:rPr>
              <w:t>K through 12</w:t>
            </w:r>
          </w:p>
        </w:tc>
        <w:tc>
          <w:tcPr>
            <w:tcW w:type="dxa" w:w="979"/>
            <w:vAlign w:val="center"/>
            <w:tcMar>
              <w:top w:w="80" w:type="dxa"/>
              <w:start w:w="90" w:type="dxa"/>
              <w:bottom w:w="80" w:type="dxa"/>
              <w:end w:w="90" w:type="dxa"/>
            </w:tcMar>
            <w:shd w:fill="F5F7F8"/>
          </w:tcPr>
          <w:p>
            <w:pPr>
              <w:spacing w:after="0"/>
            </w:pPr>
            <w:r>
              <w:rPr>
                <w:sz w:val="15"/>
              </w:rPr>
              <w:t>V/P</w:t>
            </w:r>
          </w:p>
        </w:tc>
        <w:tc>
          <w:tcPr>
            <w:tcW w:type="dxa" w:w="1037"/>
            <w:vAlign w:val="center"/>
            <w:tcMar>
              <w:top w:w="80" w:type="dxa"/>
              <w:start w:w="90" w:type="dxa"/>
              <w:bottom w:w="80" w:type="dxa"/>
              <w:end w:w="90" w:type="dxa"/>
            </w:tcMar>
            <w:shd w:fill="F5F7F8"/>
          </w:tcPr>
          <w:p>
            <w:pPr>
              <w:spacing w:after="0"/>
            </w:pPr>
            <w:r>
              <w:rPr>
                <w:sz w:val="15"/>
              </w:rPr>
              <w:t>P</w:t>
            </w:r>
          </w:p>
        </w:tc>
        <w:tc>
          <w:tcPr>
            <w:tcW w:type="dxa" w:w="1613"/>
            <w:vAlign w:val="center"/>
            <w:tcMar>
              <w:top w:w="80" w:type="dxa"/>
              <w:start w:w="90" w:type="dxa"/>
              <w:bottom w:w="80" w:type="dxa"/>
              <w:end w:w="90" w:type="dxa"/>
            </w:tcMar>
            <w:shd w:fill="F5F7F8"/>
          </w:tcPr>
          <w:p>
            <w:pPr>
              <w:spacing w:after="0"/>
            </w:pPr>
            <w:r>
              <w:rPr>
                <w:sz w:val="15"/>
              </w:rPr>
              <w:t>PH-1</w:t>
            </w:r>
          </w:p>
        </w:tc>
        <w:tc>
          <w:tcPr>
            <w:tcW w:type="dxa" w:w="1037"/>
            <w:vAlign w:val="center"/>
            <w:tcMar>
              <w:top w:w="80" w:type="dxa"/>
              <w:start w:w="90" w:type="dxa"/>
              <w:bottom w:w="80" w:type="dxa"/>
              <w:end w:w="90" w:type="dxa"/>
            </w:tcMar>
            <w:shd w:fill="F5F7F8"/>
          </w:tcPr>
          <w:p>
            <w:pPr>
              <w:spacing w:after="0"/>
            </w:pPr>
            <w:r>
              <w:rPr>
                <w:sz w:val="15"/>
              </w:rPr>
              <w:t>M</w:t>
            </w:r>
          </w:p>
        </w:tc>
      </w:tr>
    </w:tbl>
    <w:p>
      <w:pPr>
        <w:spacing w:before="80" w:after="0"/>
      </w:pPr>
      <w:r>
        <w:rPr>
          <w:i/>
          <w:sz w:val="16"/>
        </w:rPr>
        <w:t>Interpretation: V/P in a master cell means one part is verified and another remains partial. V/S means current evidence is verified and supersedes an earlier finding. Status codes describe evidence completeness, not institutional quality.</w:t>
      </w:r>
    </w:p>
    <w:p>
      <w:r>
        <w:br w:type="page"/>
      </w:r>
    </w:p>
    <w:p>
      <w:pPr>
        <w:pStyle w:val="Heading1"/>
      </w:pPr>
      <w:r>
        <w:t>Ledger 1  UC Berkeley</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Higher education</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A strong unit-level restriction now exists at Berkeley Law, but implementation and transfer evidence remain unavailable.</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PH-2</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Formation purpose</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Berkeley Law explicitly connects its restriction to independent legal reasoning.</w:t>
            </w:r>
          </w:p>
        </w:tc>
        <w:tc>
          <w:tcPr>
            <w:tcW w:type="dxa" w:w="3816"/>
            <w:vAlign w:val="center"/>
            <w:tcMar>
              <w:top w:w="80" w:type="dxa"/>
              <w:start w:w="90" w:type="dxa"/>
              <w:bottom w:w="80" w:type="dxa"/>
              <w:end w:w="90" w:type="dxa"/>
            </w:tcMar>
          </w:tcPr>
          <w:p>
            <w:pPr>
              <w:spacing w:after="0"/>
            </w:pPr>
            <w:r>
              <w:rPr>
                <w:sz w:val="15"/>
              </w:rPr>
              <w:t>Preserve the policy version and authority record.</w:t>
            </w:r>
          </w:p>
        </w:tc>
      </w:tr>
      <w:tr>
        <w:trPr>
          <w:cantSplit/>
        </w:trPr>
        <w:tc>
          <w:tcPr>
            <w:tcW w:type="dxa" w:w="1699"/>
            <w:vAlign w:val="center"/>
            <w:tcMar>
              <w:top w:w="80" w:type="dxa"/>
              <w:start w:w="90" w:type="dxa"/>
              <w:bottom w:w="80" w:type="dxa"/>
              <w:end w:w="90" w:type="dxa"/>
            </w:tcMar>
            <w:shd w:fill="F5F7F8"/>
          </w:tcPr>
          <w:p>
            <w:pPr>
              <w:spacing w:after="0"/>
            </w:pPr>
            <w:r>
              <w:rPr>
                <w:b/>
                <w:sz w:val="15"/>
              </w:rPr>
              <w:t>AI rule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The summer 2026 law-school policy restricts conceptualizing, drafting, revising, translating, and editing credited work unless an exception applies.</w:t>
            </w:r>
          </w:p>
        </w:tc>
        <w:tc>
          <w:tcPr>
            <w:tcW w:type="dxa" w:w="3816"/>
            <w:vAlign w:val="center"/>
            <w:tcMar>
              <w:top w:w="80" w:type="dxa"/>
              <w:start w:w="90" w:type="dxa"/>
              <w:bottom w:w="80" w:type="dxa"/>
              <w:end w:w="90" w:type="dxa"/>
            </w:tcMar>
            <w:shd w:fill="F5F7F8"/>
          </w:tcPr>
          <w:p>
            <w:pPr>
              <w:spacing w:after="0"/>
            </w:pPr>
            <w:r>
              <w:rPr>
                <w:sz w:val="15"/>
              </w:rPr>
              <w:t>Map authorized exceptions by course.</w:t>
            </w:r>
          </w:p>
        </w:tc>
      </w:tr>
      <w:tr>
        <w:trPr>
          <w:cantSplit/>
        </w:trPr>
        <w:tc>
          <w:tcPr>
            <w:tcW w:type="dxa" w:w="1699"/>
            <w:vAlign w:val="center"/>
            <w:tcMar>
              <w:top w:w="80" w:type="dxa"/>
              <w:start w:w="90" w:type="dxa"/>
              <w:bottom w:w="80" w:type="dxa"/>
              <w:end w:w="90" w:type="dxa"/>
            </w:tcMar>
          </w:tcPr>
          <w:p>
            <w:pPr>
              <w:spacing w:after="0"/>
            </w:pPr>
            <w:r>
              <w:rPr>
                <w:b/>
                <w:sz w:val="15"/>
              </w:rPr>
              <w:t>Tools and privacy</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Campus guidance favors institutionally licensed tools and warns against protected-data disclosure.</w:t>
            </w:r>
          </w:p>
        </w:tc>
        <w:tc>
          <w:tcPr>
            <w:tcW w:type="dxa" w:w="3816"/>
            <w:vAlign w:val="center"/>
            <w:tcMar>
              <w:top w:w="80" w:type="dxa"/>
              <w:start w:w="90" w:type="dxa"/>
              <w:bottom w:w="80" w:type="dxa"/>
              <w:end w:w="90" w:type="dxa"/>
            </w:tcMar>
          </w:tcPr>
          <w:p>
            <w:pPr>
              <w:spacing w:after="0"/>
            </w:pPr>
            <w:r>
              <w:rPr>
                <w:sz w:val="15"/>
              </w:rPr>
              <w:t>Capture approved-tool list, settings, retention, and opt-out rules.</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5B4D91"/>
                <w:sz w:val="15"/>
              </w:rPr>
              <w:t>R</w:t>
            </w:r>
          </w:p>
        </w:tc>
        <w:tc>
          <w:tcPr>
            <w:tcW w:type="dxa" w:w="3917"/>
            <w:vAlign w:val="center"/>
            <w:tcMar>
              <w:top w:w="80" w:type="dxa"/>
              <w:start w:w="90" w:type="dxa"/>
              <w:bottom w:w="80" w:type="dxa"/>
              <w:end w:w="90" w:type="dxa"/>
            </w:tcMar>
            <w:shd w:fill="F5F7F8"/>
          </w:tcPr>
          <w:p>
            <w:pPr>
              <w:spacing w:after="0"/>
            </w:pPr>
            <w:r>
              <w:rPr>
                <w:sz w:val="15"/>
              </w:rPr>
              <w:t>A first-year legal-writing or doctrinal assignment is the selected unit, but its prompt and student artifacts are not public.</w:t>
            </w:r>
          </w:p>
        </w:tc>
        <w:tc>
          <w:tcPr>
            <w:tcW w:type="dxa" w:w="3816"/>
            <w:vAlign w:val="center"/>
            <w:tcMar>
              <w:top w:w="80" w:type="dxa"/>
              <w:start w:w="90" w:type="dxa"/>
              <w:bottom w:w="80" w:type="dxa"/>
              <w:end w:w="90" w:type="dxa"/>
            </w:tcMar>
            <w:shd w:fill="F5F7F8"/>
          </w:tcPr>
          <w:p>
            <w:pPr>
              <w:spacing w:after="0"/>
            </w:pPr>
            <w:r>
              <w:rPr>
                <w:sz w:val="15"/>
              </w:rPr>
              <w:t>Obtain syllabus, assignment, drafts, feedback, and permitted research methods.</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The rule protects unaided work, but no common oral defense or supervised transfer measure is publicly established.</w:t>
            </w:r>
          </w:p>
        </w:tc>
        <w:tc>
          <w:tcPr>
            <w:tcW w:type="dxa" w:w="3816"/>
            <w:vAlign w:val="center"/>
            <w:tcMar>
              <w:top w:w="80" w:type="dxa"/>
              <w:start w:w="90" w:type="dxa"/>
              <w:bottom w:w="80" w:type="dxa"/>
              <w:end w:w="90" w:type="dxa"/>
            </w:tcMar>
          </w:tcPr>
          <w:p>
            <w:pPr>
              <w:spacing w:after="0"/>
            </w:pPr>
            <w:r>
              <w:rPr>
                <w:sz w:val="15"/>
              </w:rPr>
              <w:t>Document one closed-resource analysis or oral defense.</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No public before-and-after evidence links the policy to durable reasoning, citation accuracy, workload, trust, or well-being.</w:t>
            </w:r>
          </w:p>
        </w:tc>
        <w:tc>
          <w:tcPr>
            <w:tcW w:type="dxa" w:w="3816"/>
            <w:vAlign w:val="center"/>
            <w:tcMar>
              <w:top w:w="80" w:type="dxa"/>
              <w:start w:w="90" w:type="dxa"/>
              <w:bottom w:w="80" w:type="dxa"/>
              <w:end w:w="90" w:type="dxa"/>
            </w:tcMar>
            <w:shd w:fill="F5F7F8"/>
          </w:tcPr>
          <w:p>
            <w:pPr>
              <w:spacing w:after="0"/>
            </w:pPr>
            <w:r>
              <w:rPr>
                <w:sz w:val="15"/>
              </w:rPr>
              <w:t>Compare cohorts with limitations and alternative explanations.</w:t>
            </w:r>
          </w:p>
        </w:tc>
      </w:tr>
    </w:tbl>
    <w:p>
      <w:pPr>
        <w:spacing w:after="60"/>
      </w:pPr>
      <w:r>
        <w:rPr>
          <w:b/>
        </w:rPr>
        <w:t xml:space="preserve">Scorecard consequence  </w:t>
      </w:r>
      <w:r>
        <w:t>Formation score may rise for Berkeley Law only; campus-wide scoring must remain decentralized.</w:t>
      </w:r>
    </w:p>
    <w:p>
      <w:pPr>
        <w:spacing w:before="100" w:after="40"/>
      </w:pPr>
      <w:r>
        <w:rPr>
          <w:b/>
        </w:rPr>
        <w:t xml:space="preserve">Official sources  </w:t>
      </w:r>
      <w:hyperlink r:id="rId9">
        <w:r>
          <w:rPr>
            <w:color w:val="346887"/>
            <w:u w:val="single"/>
          </w:rPr>
          <w:t>Berkeley AI Hub</w:t>
        </w:r>
      </w:hyperlink>
      <w:r>
        <w:t xml:space="preserve">  |  </w:t>
      </w:r>
      <w:hyperlink r:id="rId10">
        <w:r>
          <w:rPr>
            <w:color w:val="346887"/>
            <w:u w:val="single"/>
          </w:rPr>
          <w:t>Teaching guidance</w:t>
        </w:r>
      </w:hyperlink>
      <w:r>
        <w:t xml:space="preserve">  |  </w:t>
      </w:r>
      <w:hyperlink r:id="rId11">
        <w:r>
          <w:rPr>
            <w:color w:val="346887"/>
            <w:u w:val="single"/>
          </w:rPr>
          <w:t>Berkeley Law policy</w:t>
        </w:r>
      </w:hyperlink>
    </w:p>
    <w:p>
      <w:r>
        <w:br w:type="page"/>
      </w:r>
    </w:p>
    <w:p>
      <w:pPr>
        <w:pStyle w:val="Heading1"/>
      </w:pPr>
      <w:r>
        <w:t>Ledger 2  UCLA</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Higher education</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UCLA has a coherent institutional framework, but public evidence does not yet show that literacy training changes independent student performance.</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PH-1</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Formation purpose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The six principles include literacy and assessment integrity, but do not define a complete campus-wide account of human formation.</w:t>
            </w:r>
          </w:p>
        </w:tc>
        <w:tc>
          <w:tcPr>
            <w:tcW w:type="dxa" w:w="3816"/>
            <w:vAlign w:val="center"/>
            <w:tcMar>
              <w:top w:w="80" w:type="dxa"/>
              <w:start w:w="90" w:type="dxa"/>
              <w:bottom w:w="80" w:type="dxa"/>
              <w:end w:w="90" w:type="dxa"/>
            </w:tcMar>
          </w:tcPr>
          <w:p>
            <w:pPr>
              <w:spacing w:after="0"/>
            </w:pPr>
            <w:r>
              <w:rPr>
                <w:sz w:val="15"/>
              </w:rPr>
              <w:t>Tie each selected course to specific capacities such as judgment, authorship, or reasoning.</w:t>
            </w:r>
          </w:p>
        </w:tc>
      </w:tr>
      <w:tr>
        <w:trPr>
          <w:cantSplit/>
        </w:trPr>
        <w:tc>
          <w:tcPr>
            <w:tcW w:type="dxa" w:w="1699"/>
            <w:vAlign w:val="center"/>
            <w:tcMar>
              <w:top w:w="80" w:type="dxa"/>
              <w:start w:w="90" w:type="dxa"/>
              <w:bottom w:w="80" w:type="dxa"/>
              <w:end w:w="90" w:type="dxa"/>
            </w:tcMar>
            <w:shd w:fill="F5F7F8"/>
          </w:tcPr>
          <w:p>
            <w:pPr>
              <w:spacing w:after="0"/>
            </w:pPr>
            <w:r>
              <w:rPr>
                <w:b/>
                <w:sz w:val="15"/>
              </w:rPr>
              <w:t>AI rule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Instructors communicate whether AI is allowed, limited, or prohibited; the central framework does not impose one uniform permission rule.</w:t>
            </w:r>
          </w:p>
        </w:tc>
        <w:tc>
          <w:tcPr>
            <w:tcW w:type="dxa" w:w="3816"/>
            <w:vAlign w:val="center"/>
            <w:tcMar>
              <w:top w:w="80" w:type="dxa"/>
              <w:start w:w="90" w:type="dxa"/>
              <w:bottom w:w="80" w:type="dxa"/>
              <w:end w:w="90" w:type="dxa"/>
            </w:tcMar>
            <w:shd w:fill="F5F7F8"/>
          </w:tcPr>
          <w:p>
            <w:pPr>
              <w:spacing w:after="0"/>
            </w:pPr>
            <w:r>
              <w:rPr>
                <w:sz w:val="15"/>
              </w:rPr>
              <w:t>Archive the policy used in the selected course.</w:t>
            </w:r>
          </w:p>
        </w:tc>
      </w:tr>
      <w:tr>
        <w:trPr>
          <w:cantSplit/>
        </w:trPr>
        <w:tc>
          <w:tcPr>
            <w:tcW w:type="dxa" w:w="1699"/>
            <w:vAlign w:val="center"/>
            <w:tcMar>
              <w:top w:w="80" w:type="dxa"/>
              <w:start w:w="90" w:type="dxa"/>
              <w:bottom w:w="80" w:type="dxa"/>
              <w:end w:w="90" w:type="dxa"/>
            </w:tcMar>
          </w:tcPr>
          <w:p>
            <w:pPr>
              <w:spacing w:after="0"/>
            </w:pPr>
            <w:r>
              <w:rPr>
                <w:b/>
                <w:sz w:val="15"/>
              </w:rPr>
              <w:t>Tools and privacy</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Responsible-use guidance addresses risk and equitable access at a general level.</w:t>
            </w:r>
          </w:p>
        </w:tc>
        <w:tc>
          <w:tcPr>
            <w:tcW w:type="dxa" w:w="3816"/>
            <w:vAlign w:val="center"/>
            <w:tcMar>
              <w:top w:w="80" w:type="dxa"/>
              <w:start w:w="90" w:type="dxa"/>
              <w:bottom w:w="80" w:type="dxa"/>
              <w:end w:w="90" w:type="dxa"/>
            </w:tcMar>
          </w:tcPr>
          <w:p>
            <w:pPr>
              <w:spacing w:after="0"/>
            </w:pPr>
            <w:r>
              <w:rPr>
                <w:sz w:val="15"/>
              </w:rPr>
              <w:t>Capture the actual tool, account type, data terms, accessibility, and alternative.</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A06716"/>
                <w:sz w:val="15"/>
              </w:rPr>
              <w:t>P</w:t>
            </w:r>
          </w:p>
        </w:tc>
        <w:tc>
          <w:tcPr>
            <w:tcW w:type="dxa" w:w="3917"/>
            <w:vAlign w:val="center"/>
            <w:tcMar>
              <w:top w:w="80" w:type="dxa"/>
              <w:start w:w="90" w:type="dxa"/>
              <w:bottom w:w="80" w:type="dxa"/>
              <w:end w:w="90" w:type="dxa"/>
            </w:tcMar>
            <w:shd w:fill="F5F7F8"/>
          </w:tcPr>
          <w:p>
            <w:pPr>
              <w:spacing w:after="0"/>
            </w:pPr>
            <w:r>
              <w:rPr>
                <w:sz w:val="15"/>
              </w:rPr>
              <w:t>The Bruin Learn literacy module and Faculty Fellows work are publicly described, but a complete student evidence chain is not public.</w:t>
            </w:r>
          </w:p>
        </w:tc>
        <w:tc>
          <w:tcPr>
            <w:tcW w:type="dxa" w:w="3816"/>
            <w:vAlign w:val="center"/>
            <w:tcMar>
              <w:top w:w="80" w:type="dxa"/>
              <w:start w:w="90" w:type="dxa"/>
              <w:bottom w:w="80" w:type="dxa"/>
              <w:end w:w="90" w:type="dxa"/>
            </w:tcMar>
            <w:shd w:fill="F5F7F8"/>
          </w:tcPr>
          <w:p>
            <w:pPr>
              <w:spacing w:after="0"/>
            </w:pPr>
            <w:r>
              <w:rPr>
                <w:sz w:val="15"/>
              </w:rPr>
              <w:t>Preserve module completion, assignment, disclosure, rubric, and reflection.</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9D2F2F"/>
                <w:sz w:val="15"/>
              </w:rPr>
              <w:t>M</w:t>
            </w:r>
          </w:p>
        </w:tc>
        <w:tc>
          <w:tcPr>
            <w:tcW w:type="dxa" w:w="3917"/>
            <w:vAlign w:val="center"/>
            <w:tcMar>
              <w:top w:w="80" w:type="dxa"/>
              <w:start w:w="90" w:type="dxa"/>
              <w:bottom w:w="80" w:type="dxa"/>
              <w:end w:w="90" w:type="dxa"/>
            </w:tcMar>
          </w:tcPr>
          <w:p>
            <w:pPr>
              <w:spacing w:after="0"/>
            </w:pPr>
            <w:r>
              <w:rPr>
                <w:sz w:val="15"/>
              </w:rPr>
              <w:t>No common post-AI supervised writing or oral explanation was located.</w:t>
            </w:r>
          </w:p>
        </w:tc>
        <w:tc>
          <w:tcPr>
            <w:tcW w:type="dxa" w:w="3816"/>
            <w:vAlign w:val="center"/>
            <w:tcMar>
              <w:top w:w="80" w:type="dxa"/>
              <w:start w:w="90" w:type="dxa"/>
              <w:bottom w:w="80" w:type="dxa"/>
              <w:end w:w="90" w:type="dxa"/>
            </w:tcMar>
          </w:tcPr>
          <w:p>
            <w:pPr>
              <w:spacing w:after="0"/>
            </w:pPr>
            <w:r>
              <w:rPr>
                <w:sz w:val="15"/>
              </w:rPr>
              <w:t>Add a short unaided verification after the AI-supported task.</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Completion, retention, dependency, workload, belonging, and durable-learning results were not publicly reported.</w:t>
            </w:r>
          </w:p>
        </w:tc>
        <w:tc>
          <w:tcPr>
            <w:tcW w:type="dxa" w:w="3816"/>
            <w:vAlign w:val="center"/>
            <w:tcMar>
              <w:top w:w="80" w:type="dxa"/>
              <w:start w:w="90" w:type="dxa"/>
              <w:bottom w:w="80" w:type="dxa"/>
              <w:end w:w="90" w:type="dxa"/>
            </w:tcMar>
            <w:shd w:fill="F5F7F8"/>
          </w:tcPr>
          <w:p>
            <w:pPr>
              <w:spacing w:after="0"/>
            </w:pPr>
            <w:r>
              <w:rPr>
                <w:sz w:val="15"/>
              </w:rPr>
              <w:t>Measure behavior and unaided transfer, not awareness alone.</w:t>
            </w:r>
          </w:p>
        </w:tc>
      </w:tr>
    </w:tbl>
    <w:p>
      <w:pPr>
        <w:spacing w:after="60"/>
      </w:pPr>
      <w:r>
        <w:rPr>
          <w:b/>
        </w:rPr>
        <w:t xml:space="preserve">Scorecard consequence  </w:t>
      </w:r>
      <w:r>
        <w:t>Credit policy maturity and literacy infrastructure; withhold learning-outcome credit pending unaided measures.</w:t>
      </w:r>
    </w:p>
    <w:p>
      <w:pPr>
        <w:spacing w:before="100" w:after="40"/>
      </w:pPr>
      <w:r>
        <w:rPr>
          <w:b/>
        </w:rPr>
        <w:t xml:space="preserve">Official sources  </w:t>
      </w:r>
      <w:hyperlink r:id="rId12">
        <w:r>
          <w:rPr>
            <w:color w:val="346887"/>
            <w:u w:val="single"/>
          </w:rPr>
          <w:t>AI teaching initiative</w:t>
        </w:r>
      </w:hyperlink>
      <w:r>
        <w:t xml:space="preserve">  |  </w:t>
      </w:r>
      <w:hyperlink r:id="rId13">
        <w:r>
          <w:rPr>
            <w:color w:val="346887"/>
            <w:u w:val="single"/>
          </w:rPr>
          <w:t>Responsible-use principles</w:t>
        </w:r>
      </w:hyperlink>
      <w:r>
        <w:t xml:space="preserve">  |  </w:t>
      </w:r>
      <w:hyperlink r:id="rId14">
        <w:r>
          <w:rPr>
            <w:color w:val="346887"/>
            <w:u w:val="single"/>
          </w:rPr>
          <w:t>Course policy guidance</w:t>
        </w:r>
      </w:hyperlink>
    </w:p>
    <w:p>
      <w:r>
        <w:br w:type="page"/>
      </w:r>
    </w:p>
    <w:p>
      <w:pPr>
        <w:pStyle w:val="Heading1"/>
      </w:pPr>
      <w:r>
        <w:t>Ledger 3  Stanford University</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Higher education</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Stanford provides strong student participation and human-centered guidance; the most promising verification device remains a proposal rather than an implemented university rule.</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PH-1</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Formation purpose</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Official guidance emphasizes human responsibility, critical thinking, and checking AI output.</w:t>
            </w:r>
          </w:p>
        </w:tc>
        <w:tc>
          <w:tcPr>
            <w:tcW w:type="dxa" w:w="3816"/>
            <w:vAlign w:val="center"/>
            <w:tcMar>
              <w:top w:w="80" w:type="dxa"/>
              <w:start w:w="90" w:type="dxa"/>
              <w:bottom w:w="80" w:type="dxa"/>
              <w:end w:w="90" w:type="dxa"/>
            </w:tcMar>
          </w:tcPr>
          <w:p>
            <w:pPr>
              <w:spacing w:after="0"/>
            </w:pPr>
            <w:r>
              <w:rPr>
                <w:sz w:val="15"/>
              </w:rPr>
              <w:t>Connect those aims to graded course outcomes.</w:t>
            </w:r>
          </w:p>
        </w:tc>
      </w:tr>
      <w:tr>
        <w:trPr>
          <w:cantSplit/>
        </w:trPr>
        <w:tc>
          <w:tcPr>
            <w:tcW w:type="dxa" w:w="1699"/>
            <w:vAlign w:val="center"/>
            <w:tcMar>
              <w:top w:w="80" w:type="dxa"/>
              <w:start w:w="90" w:type="dxa"/>
              <w:bottom w:w="80" w:type="dxa"/>
              <w:end w:w="90" w:type="dxa"/>
            </w:tcMar>
            <w:shd w:fill="F5F7F8"/>
          </w:tcPr>
          <w:p>
            <w:pPr>
              <w:spacing w:after="0"/>
            </w:pPr>
            <w:r>
              <w:rPr>
                <w:b/>
                <w:sz w:val="15"/>
              </w:rPr>
              <w:t>AI rule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Course permissions remain instructor-specific under the Honor Code and disclosure expectations.</w:t>
            </w:r>
          </w:p>
        </w:tc>
        <w:tc>
          <w:tcPr>
            <w:tcW w:type="dxa" w:w="3816"/>
            <w:vAlign w:val="center"/>
            <w:tcMar>
              <w:top w:w="80" w:type="dxa"/>
              <w:start w:w="90" w:type="dxa"/>
              <w:bottom w:w="80" w:type="dxa"/>
              <w:end w:w="90" w:type="dxa"/>
            </w:tcMar>
            <w:shd w:fill="F5F7F8"/>
          </w:tcPr>
          <w:p>
            <w:pPr>
              <w:spacing w:after="0"/>
            </w:pPr>
            <w:r>
              <w:rPr>
                <w:sz w:val="15"/>
              </w:rPr>
              <w:t>Archive the exact rule for every selected course.</w:t>
            </w:r>
          </w:p>
        </w:tc>
      </w:tr>
      <w:tr>
        <w:trPr>
          <w:cantSplit/>
        </w:trPr>
        <w:tc>
          <w:tcPr>
            <w:tcW w:type="dxa" w:w="1699"/>
            <w:vAlign w:val="center"/>
            <w:tcMar>
              <w:top w:w="80" w:type="dxa"/>
              <w:start w:w="90" w:type="dxa"/>
              <w:bottom w:w="80" w:type="dxa"/>
              <w:end w:w="90" w:type="dxa"/>
            </w:tcMar>
          </w:tcPr>
          <w:p>
            <w:pPr>
              <w:spacing w:after="0"/>
            </w:pPr>
            <w:r>
              <w:rPr>
                <w:b/>
                <w:sz w:val="15"/>
              </w:rPr>
              <w:t>Governance participation</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More than 1,200 first-year students in more than 70 COLLEGE 102 sections developed AI policy memos in 2026.</w:t>
            </w:r>
          </w:p>
        </w:tc>
        <w:tc>
          <w:tcPr>
            <w:tcW w:type="dxa" w:w="3816"/>
            <w:vAlign w:val="center"/>
            <w:tcMar>
              <w:top w:w="80" w:type="dxa"/>
              <w:start w:w="90" w:type="dxa"/>
              <w:bottom w:w="80" w:type="dxa"/>
              <w:end w:w="90" w:type="dxa"/>
            </w:tcMar>
          </w:tcPr>
          <w:p>
            <w:pPr>
              <w:spacing w:after="0"/>
            </w:pPr>
            <w:r>
              <w:rPr>
                <w:sz w:val="15"/>
              </w:rPr>
              <w:t>Preserve the prompt, section process, voting, and final proposal.</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A06716"/>
                <w:sz w:val="15"/>
              </w:rPr>
              <w:t>P</w:t>
            </w:r>
          </w:p>
        </w:tc>
        <w:tc>
          <w:tcPr>
            <w:tcW w:type="dxa" w:w="3917"/>
            <w:vAlign w:val="center"/>
            <w:tcMar>
              <w:top w:w="80" w:type="dxa"/>
              <w:start w:w="90" w:type="dxa"/>
              <w:bottom w:w="80" w:type="dxa"/>
              <w:end w:w="90" w:type="dxa"/>
            </w:tcMar>
            <w:shd w:fill="F5F7F8"/>
          </w:tcPr>
          <w:p>
            <w:pPr>
              <w:spacing w:after="0"/>
            </w:pPr>
            <w:r>
              <w:rPr>
                <w:sz w:val="15"/>
              </w:rPr>
              <w:t>The COLLEGE 102 exercise is documented, but individual draft histories and later behavior are not public.</w:t>
            </w:r>
          </w:p>
        </w:tc>
        <w:tc>
          <w:tcPr>
            <w:tcW w:type="dxa" w:w="3816"/>
            <w:vAlign w:val="center"/>
            <w:tcMar>
              <w:top w:w="80" w:type="dxa"/>
              <w:start w:w="90" w:type="dxa"/>
              <w:bottom w:w="80" w:type="dxa"/>
              <w:end w:w="90" w:type="dxa"/>
            </w:tcMar>
            <w:shd w:fill="F5F7F8"/>
          </w:tcPr>
          <w:p>
            <w:pPr>
              <w:spacing w:after="0"/>
            </w:pPr>
            <w:r>
              <w:rPr>
                <w:sz w:val="15"/>
              </w:rPr>
              <w:t>Separate individual reasoning from group deliberation and proposal quality.</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Individual understanding checks were proposed; Stanford stated the winning proposal was not itself official policy.</w:t>
            </w:r>
          </w:p>
        </w:tc>
        <w:tc>
          <w:tcPr>
            <w:tcW w:type="dxa" w:w="3816"/>
            <w:vAlign w:val="center"/>
            <w:tcMar>
              <w:top w:w="80" w:type="dxa"/>
              <w:start w:w="90" w:type="dxa"/>
              <w:bottom w:w="80" w:type="dxa"/>
              <w:end w:w="90" w:type="dxa"/>
            </w:tcMar>
          </w:tcPr>
          <w:p>
            <w:pPr>
              <w:spacing w:after="0"/>
            </w:pPr>
            <w:r>
              <w:rPr>
                <w:sz w:val="15"/>
              </w:rPr>
              <w:t>Verify whether checks were adopted, where, and with what weight.</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No longitudinal results establish effects on writing, dependency, agency, trust, belonging, or workload.</w:t>
            </w:r>
          </w:p>
        </w:tc>
        <w:tc>
          <w:tcPr>
            <w:tcW w:type="dxa" w:w="3816"/>
            <w:vAlign w:val="center"/>
            <w:tcMar>
              <w:top w:w="80" w:type="dxa"/>
              <w:start w:w="90" w:type="dxa"/>
              <w:bottom w:w="80" w:type="dxa"/>
              <w:end w:w="90" w:type="dxa"/>
            </w:tcMar>
            <w:shd w:fill="F5F7F8"/>
          </w:tcPr>
          <w:p>
            <w:pPr>
              <w:spacing w:after="0"/>
            </w:pPr>
            <w:r>
              <w:rPr>
                <w:sz w:val="15"/>
              </w:rPr>
              <w:t>Measure individual outcomes beyond the quality of the group proposal.</w:t>
            </w:r>
          </w:p>
        </w:tc>
      </w:tr>
    </w:tbl>
    <w:p>
      <w:pPr>
        <w:spacing w:after="60"/>
      </w:pPr>
      <w:r>
        <w:rPr>
          <w:b/>
        </w:rPr>
        <w:t xml:space="preserve">Scorecard consequence  </w:t>
      </w:r>
      <w:r>
        <w:t>Credit authentic civic inquiry and student voice; do not score proposed understanding checks as implemented protection.</w:t>
      </w:r>
    </w:p>
    <w:p>
      <w:pPr>
        <w:spacing w:before="100" w:after="40"/>
      </w:pPr>
      <w:r>
        <w:rPr>
          <w:b/>
        </w:rPr>
        <w:t xml:space="preserve">Official sources  </w:t>
      </w:r>
      <w:hyperlink r:id="rId15">
        <w:r>
          <w:rPr>
            <w:color w:val="346887"/>
            <w:u w:val="single"/>
          </w:rPr>
          <w:t>COLLEGE 102 report</w:t>
        </w:r>
      </w:hyperlink>
      <w:r>
        <w:t xml:space="preserve">  |  </w:t>
      </w:r>
      <w:hyperlink r:id="rId16">
        <w:r>
          <w:rPr>
            <w:color w:val="346887"/>
            <w:u w:val="single"/>
          </w:rPr>
          <w:t>Student AI guide</w:t>
        </w:r>
      </w:hyperlink>
      <w:r>
        <w:t xml:space="preserve">  |  </w:t>
      </w:r>
      <w:hyperlink r:id="rId17">
        <w:r>
          <w:rPr>
            <w:color w:val="346887"/>
            <w:u w:val="single"/>
          </w:rPr>
          <w:t>Course policy guidance</w:t>
        </w:r>
      </w:hyperlink>
    </w:p>
    <w:p>
      <w:r>
        <w:br w:type="page"/>
      </w:r>
    </w:p>
    <w:p>
      <w:pPr>
        <w:pStyle w:val="Heading1"/>
      </w:pPr>
      <w:r>
        <w:t>Ledger 4  University of Southern California</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Higher education</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USC offers a university-scale, managed-tool case; access and data protection are better established than educational effects.</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PH-1</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Formation purpose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Guidance preserves faculty authority and student responsibility, but account availability is not a learning theory.</w:t>
            </w:r>
          </w:p>
        </w:tc>
        <w:tc>
          <w:tcPr>
            <w:tcW w:type="dxa" w:w="3816"/>
            <w:vAlign w:val="center"/>
            <w:tcMar>
              <w:top w:w="80" w:type="dxa"/>
              <w:start w:w="90" w:type="dxa"/>
              <w:bottom w:w="80" w:type="dxa"/>
              <w:end w:w="90" w:type="dxa"/>
            </w:tcMar>
          </w:tcPr>
          <w:p>
            <w:pPr>
              <w:spacing w:after="0"/>
            </w:pPr>
            <w:r>
              <w:rPr>
                <w:sz w:val="15"/>
              </w:rPr>
              <w:t>State the human capacity protected in the selected course.</w:t>
            </w:r>
          </w:p>
        </w:tc>
      </w:tr>
      <w:tr>
        <w:trPr>
          <w:cantSplit/>
        </w:trPr>
        <w:tc>
          <w:tcPr>
            <w:tcW w:type="dxa" w:w="1699"/>
            <w:vAlign w:val="center"/>
            <w:tcMar>
              <w:top w:w="80" w:type="dxa"/>
              <w:start w:w="90" w:type="dxa"/>
              <w:bottom w:w="80" w:type="dxa"/>
              <w:end w:w="90" w:type="dxa"/>
            </w:tcMar>
            <w:shd w:fill="F5F7F8"/>
          </w:tcPr>
          <w:p>
            <w:pPr>
              <w:spacing w:after="0"/>
            </w:pPr>
            <w:r>
              <w:rPr>
                <w:b/>
                <w:sz w:val="15"/>
              </w:rPr>
              <w:t>AI rule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Spring 2026 guidance places ChatGPT Edu within course policy and academic-integrity requirements.</w:t>
            </w:r>
          </w:p>
        </w:tc>
        <w:tc>
          <w:tcPr>
            <w:tcW w:type="dxa" w:w="3816"/>
            <w:vAlign w:val="center"/>
            <w:tcMar>
              <w:top w:w="80" w:type="dxa"/>
              <w:start w:w="90" w:type="dxa"/>
              <w:bottom w:w="80" w:type="dxa"/>
              <w:end w:w="90" w:type="dxa"/>
            </w:tcMar>
            <w:shd w:fill="F5F7F8"/>
          </w:tcPr>
          <w:p>
            <w:pPr>
              <w:spacing w:after="0"/>
            </w:pPr>
            <w:r>
              <w:rPr>
                <w:sz w:val="15"/>
              </w:rPr>
              <w:t>Record the selected instructor's allowed, limited, or prohibited uses.</w:t>
            </w:r>
          </w:p>
        </w:tc>
      </w:tr>
      <w:tr>
        <w:trPr>
          <w:cantSplit/>
        </w:trPr>
        <w:tc>
          <w:tcPr>
            <w:tcW w:type="dxa" w:w="1699"/>
            <w:vAlign w:val="center"/>
            <w:tcMar>
              <w:top w:w="80" w:type="dxa"/>
              <w:start w:w="90" w:type="dxa"/>
              <w:bottom w:w="80" w:type="dxa"/>
              <w:end w:w="90" w:type="dxa"/>
            </w:tcMar>
          </w:tcPr>
          <w:p>
            <w:pPr>
              <w:spacing w:after="0"/>
            </w:pPr>
            <w:r>
              <w:rPr>
                <w:b/>
                <w:sz w:val="15"/>
              </w:rPr>
              <w:t>Tools and privacy</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ChatGPT Edu provides an institutionally managed environment with stronger data governance than consumer accounts.</w:t>
            </w:r>
          </w:p>
        </w:tc>
        <w:tc>
          <w:tcPr>
            <w:tcW w:type="dxa" w:w="3816"/>
            <w:vAlign w:val="center"/>
            <w:tcMar>
              <w:top w:w="80" w:type="dxa"/>
              <w:start w:w="90" w:type="dxa"/>
              <w:bottom w:w="80" w:type="dxa"/>
              <w:end w:w="90" w:type="dxa"/>
            </w:tcMar>
          </w:tcPr>
          <w:p>
            <w:pPr>
              <w:spacing w:after="0"/>
            </w:pPr>
            <w:r>
              <w:rPr>
                <w:sz w:val="15"/>
              </w:rPr>
              <w:t>Capture configuration, retention, accessibility, and alternative-use rules.</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5B4D91"/>
                <w:sz w:val="15"/>
              </w:rPr>
              <w:t>R</w:t>
            </w:r>
          </w:p>
        </w:tc>
        <w:tc>
          <w:tcPr>
            <w:tcW w:type="dxa" w:w="3917"/>
            <w:vAlign w:val="center"/>
            <w:tcMar>
              <w:top w:w="80" w:type="dxa"/>
              <w:start w:w="90" w:type="dxa"/>
              <w:bottom w:w="80" w:type="dxa"/>
              <w:end w:w="90" w:type="dxa"/>
            </w:tcMar>
            <w:shd w:fill="F5F7F8"/>
          </w:tcPr>
          <w:p>
            <w:pPr>
              <w:spacing w:after="0"/>
            </w:pPr>
            <w:r>
              <w:rPr>
                <w:sz w:val="15"/>
              </w:rPr>
              <w:t>A course using AI for feedback, comparison, research, or revision is required, but prompts and artifacts are not public.</w:t>
            </w:r>
          </w:p>
        </w:tc>
        <w:tc>
          <w:tcPr>
            <w:tcW w:type="dxa" w:w="3816"/>
            <w:vAlign w:val="center"/>
            <w:tcMar>
              <w:top w:w="80" w:type="dxa"/>
              <w:start w:w="90" w:type="dxa"/>
              <w:bottom w:w="80" w:type="dxa"/>
              <w:end w:w="90" w:type="dxa"/>
            </w:tcMar>
            <w:shd w:fill="F5F7F8"/>
          </w:tcPr>
          <w:p>
            <w:pPr>
              <w:spacing w:after="0"/>
            </w:pPr>
            <w:r>
              <w:rPr>
                <w:sz w:val="15"/>
              </w:rPr>
              <w:t>Archive prompt, outputs, verification, drafts, disclosure, and rubric.</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9D2F2F"/>
                <w:sz w:val="15"/>
              </w:rPr>
              <w:t>M</w:t>
            </w:r>
          </w:p>
        </w:tc>
        <w:tc>
          <w:tcPr>
            <w:tcW w:type="dxa" w:w="3917"/>
            <w:vAlign w:val="center"/>
            <w:tcMar>
              <w:top w:w="80" w:type="dxa"/>
              <w:start w:w="90" w:type="dxa"/>
              <w:bottom w:w="80" w:type="dxa"/>
              <w:end w:w="90" w:type="dxa"/>
            </w:tcMar>
          </w:tcPr>
          <w:p>
            <w:pPr>
              <w:spacing w:after="0"/>
            </w:pPr>
            <w:r>
              <w:rPr>
                <w:sz w:val="15"/>
              </w:rPr>
              <w:t>No university-wide supervised post-assistance check was found.</w:t>
            </w:r>
          </w:p>
        </w:tc>
        <w:tc>
          <w:tcPr>
            <w:tcW w:type="dxa" w:w="3816"/>
            <w:vAlign w:val="center"/>
            <w:tcMar>
              <w:top w:w="80" w:type="dxa"/>
              <w:start w:w="90" w:type="dxa"/>
              <w:bottom w:w="80" w:type="dxa"/>
              <w:end w:w="90" w:type="dxa"/>
            </w:tcMar>
          </w:tcPr>
          <w:p>
            <w:pPr>
              <w:spacing w:after="0"/>
            </w:pPr>
            <w:r>
              <w:rPr>
                <w:sz w:val="15"/>
              </w:rPr>
              <w:t>Require a brief in-person reproduction, correction, or oral explanation.</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No public evidence shows changes in unaided learning, faculty contact, office-hour use, workload, belonging, or confidence.</w:t>
            </w:r>
          </w:p>
        </w:tc>
        <w:tc>
          <w:tcPr>
            <w:tcW w:type="dxa" w:w="3816"/>
            <w:vAlign w:val="center"/>
            <w:tcMar>
              <w:top w:w="80" w:type="dxa"/>
              <w:start w:w="90" w:type="dxa"/>
              <w:bottom w:w="80" w:type="dxa"/>
              <w:end w:w="90" w:type="dxa"/>
            </w:tcMar>
            <w:shd w:fill="F5F7F8"/>
          </w:tcPr>
          <w:p>
            <w:pPr>
              <w:spacing w:after="0"/>
            </w:pPr>
            <w:r>
              <w:rPr>
                <w:sz w:val="15"/>
              </w:rPr>
              <w:t>Compare AI-plus-faculty support with tool access alone.</w:t>
            </w:r>
          </w:p>
        </w:tc>
      </w:tr>
    </w:tbl>
    <w:p>
      <w:pPr>
        <w:spacing w:after="60"/>
      </w:pPr>
      <w:r>
        <w:rPr>
          <w:b/>
        </w:rPr>
        <w:t xml:space="preserve">Scorecard consequence  </w:t>
      </w:r>
      <w:r>
        <w:t>Credit procurement and privacy readiness separately from formation and learning outcomes.</w:t>
      </w:r>
    </w:p>
    <w:p>
      <w:pPr>
        <w:spacing w:before="100" w:after="40"/>
      </w:pPr>
      <w:r>
        <w:rPr>
          <w:b/>
        </w:rPr>
        <w:t xml:space="preserve">Official sources  </w:t>
      </w:r>
      <w:hyperlink r:id="rId18">
        <w:r>
          <w:rPr>
            <w:color w:val="346887"/>
            <w:u w:val="single"/>
          </w:rPr>
          <w:t>Provost guidance</w:t>
        </w:r>
      </w:hyperlink>
      <w:r>
        <w:t xml:space="preserve">  |  </w:t>
      </w:r>
      <w:hyperlink r:id="rId19">
        <w:r>
          <w:rPr>
            <w:color w:val="346887"/>
            <w:u w:val="single"/>
          </w:rPr>
          <w:t>ChatGPT Edu at USC</w:t>
        </w:r>
      </w:hyperlink>
      <w:r>
        <w:t xml:space="preserve">  |  </w:t>
      </w:r>
      <w:hyperlink r:id="rId20">
        <w:r>
          <w:rPr>
            <w:color w:val="346887"/>
            <w:u w:val="single"/>
          </w:rPr>
          <w:t>Integrity guidance</w:t>
        </w:r>
      </w:hyperlink>
    </w:p>
    <w:p>
      <w:r>
        <w:br w:type="page"/>
      </w:r>
    </w:p>
    <w:p>
      <w:pPr>
        <w:pStyle w:val="Heading1"/>
      </w:pPr>
      <w:r>
        <w:t>Ledger 5  California Institute of Technology</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Higher education</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Caltech has unusually clear links among disclosure, confidential data, accuracy, trust, and instructor authority, but durable transfer is unmeasured.</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PH-2</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Formation purpose</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Official teaching materials connect AI use with writing, ethical responsibility, trust, and assessment.</w:t>
            </w:r>
          </w:p>
        </w:tc>
        <w:tc>
          <w:tcPr>
            <w:tcW w:type="dxa" w:w="3816"/>
            <w:vAlign w:val="center"/>
            <w:tcMar>
              <w:top w:w="80" w:type="dxa"/>
              <w:start w:w="90" w:type="dxa"/>
              <w:bottom w:w="80" w:type="dxa"/>
              <w:end w:w="90" w:type="dxa"/>
            </w:tcMar>
          </w:tcPr>
          <w:p>
            <w:pPr>
              <w:spacing w:after="0"/>
            </w:pPr>
            <w:r>
              <w:rPr>
                <w:sz w:val="15"/>
              </w:rPr>
              <w:t>Specify the intended capacity in each reviewed assignment.</w:t>
            </w:r>
          </w:p>
        </w:tc>
      </w:tr>
      <w:tr>
        <w:trPr>
          <w:cantSplit/>
        </w:trPr>
        <w:tc>
          <w:tcPr>
            <w:tcW w:type="dxa" w:w="1699"/>
            <w:vAlign w:val="center"/>
            <w:tcMar>
              <w:top w:w="80" w:type="dxa"/>
              <w:start w:w="90" w:type="dxa"/>
              <w:bottom w:w="80" w:type="dxa"/>
              <w:end w:w="90" w:type="dxa"/>
            </w:tcMar>
            <w:shd w:fill="F5F7F8"/>
          </w:tcPr>
          <w:p>
            <w:pPr>
              <w:spacing w:after="0"/>
            </w:pPr>
            <w:r>
              <w:rPr>
                <w:b/>
                <w:sz w:val="15"/>
              </w:rPr>
              <w:t>AI rule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Instructor or division rules govern coursework; students remain subject to the Honor Code and disclosure requirements.</w:t>
            </w:r>
          </w:p>
        </w:tc>
        <w:tc>
          <w:tcPr>
            <w:tcW w:type="dxa" w:w="3816"/>
            <w:vAlign w:val="center"/>
            <w:tcMar>
              <w:top w:w="80" w:type="dxa"/>
              <w:start w:w="90" w:type="dxa"/>
              <w:bottom w:w="80" w:type="dxa"/>
              <w:end w:w="90" w:type="dxa"/>
            </w:tcMar>
            <w:shd w:fill="F5F7F8"/>
          </w:tcPr>
          <w:p>
            <w:pPr>
              <w:spacing w:after="0"/>
            </w:pPr>
            <w:r>
              <w:rPr>
                <w:sz w:val="15"/>
              </w:rPr>
              <w:t>Archive the current division and course versions.</w:t>
            </w:r>
          </w:p>
        </w:tc>
      </w:tr>
      <w:tr>
        <w:trPr>
          <w:cantSplit/>
        </w:trPr>
        <w:tc>
          <w:tcPr>
            <w:tcW w:type="dxa" w:w="1699"/>
            <w:vAlign w:val="center"/>
            <w:tcMar>
              <w:top w:w="80" w:type="dxa"/>
              <w:start w:w="90" w:type="dxa"/>
              <w:bottom w:w="80" w:type="dxa"/>
              <w:end w:w="90" w:type="dxa"/>
            </w:tcMar>
          </w:tcPr>
          <w:p>
            <w:pPr>
              <w:spacing w:after="0"/>
            </w:pPr>
            <w:r>
              <w:rPr>
                <w:b/>
                <w:sz w:val="15"/>
              </w:rPr>
              <w:t>Tools and privacy</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Consumer tools may not receive restricted information; managed or approved tools are required for protected institutional work.</w:t>
            </w:r>
          </w:p>
        </w:tc>
        <w:tc>
          <w:tcPr>
            <w:tcW w:type="dxa" w:w="3816"/>
            <w:vAlign w:val="center"/>
            <w:tcMar>
              <w:top w:w="80" w:type="dxa"/>
              <w:start w:w="90" w:type="dxa"/>
              <w:bottom w:w="80" w:type="dxa"/>
              <w:end w:w="90" w:type="dxa"/>
            </w:tcMar>
          </w:tcPr>
          <w:p>
            <w:pPr>
              <w:spacing w:after="0"/>
            </w:pPr>
            <w:r>
              <w:rPr>
                <w:sz w:val="15"/>
              </w:rPr>
              <w:t>Capture tool list, contracts, settings, and student alternatives.</w:t>
            </w:r>
          </w:p>
        </w:tc>
      </w:tr>
      <w:tr>
        <w:trPr>
          <w:cantSplit/>
        </w:trPr>
        <w:tc>
          <w:tcPr>
            <w:tcW w:type="dxa" w:w="1699"/>
            <w:vAlign w:val="center"/>
            <w:tcMar>
              <w:top w:w="80" w:type="dxa"/>
              <w:start w:w="90" w:type="dxa"/>
              <w:bottom w:w="80" w:type="dxa"/>
              <w:end w:w="90" w:type="dxa"/>
            </w:tcMar>
            <w:shd w:fill="F5F7F8"/>
          </w:tcPr>
          <w:p>
            <w:pPr>
              <w:spacing w:after="0"/>
            </w:pPr>
            <w:r>
              <w:rPr>
                <w:b/>
                <w:sz w:val="15"/>
              </w:rPr>
              <w:t>Integrity enforcement</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Central guidance strongly discourages consequential reliance on unreliable AI detectors.</w:t>
            </w:r>
          </w:p>
        </w:tc>
        <w:tc>
          <w:tcPr>
            <w:tcW w:type="dxa" w:w="3816"/>
            <w:vAlign w:val="center"/>
            <w:tcMar>
              <w:top w:w="80" w:type="dxa"/>
              <w:start w:w="90" w:type="dxa"/>
              <w:bottom w:w="80" w:type="dxa"/>
              <w:end w:w="90" w:type="dxa"/>
            </w:tcMar>
            <w:shd w:fill="F5F7F8"/>
          </w:tcPr>
          <w:p>
            <w:pPr>
              <w:spacing w:after="0"/>
            </w:pPr>
            <w:r>
              <w:rPr>
                <w:sz w:val="15"/>
              </w:rPr>
              <w:t>Document actual investigation and appeal practices.</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An ethics-and-writing model is public, but comparable unaided scientific, mathematical, coding, and prose measures are not.</w:t>
            </w:r>
          </w:p>
        </w:tc>
        <w:tc>
          <w:tcPr>
            <w:tcW w:type="dxa" w:w="3816"/>
            <w:vAlign w:val="center"/>
            <w:tcMar>
              <w:top w:w="80" w:type="dxa"/>
              <w:start w:w="90" w:type="dxa"/>
              <w:bottom w:w="80" w:type="dxa"/>
              <w:end w:w="90" w:type="dxa"/>
            </w:tcMar>
          </w:tcPr>
          <w:p>
            <w:pPr>
              <w:spacing w:after="0"/>
            </w:pPr>
            <w:r>
              <w:rPr>
                <w:sz w:val="15"/>
              </w:rPr>
              <w:t>Pair AI-supported work with in-class analysis, oral conference, or proctored examination.</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No public series establishes transfer, trust, workload, stress, belonging, or faculty-contact effects.</w:t>
            </w:r>
          </w:p>
        </w:tc>
        <w:tc>
          <w:tcPr>
            <w:tcW w:type="dxa" w:w="3816"/>
            <w:vAlign w:val="center"/>
            <w:tcMar>
              <w:top w:w="80" w:type="dxa"/>
              <w:start w:w="90" w:type="dxa"/>
              <w:bottom w:w="80" w:type="dxa"/>
              <w:end w:w="90" w:type="dxa"/>
            </w:tcMar>
            <w:shd w:fill="F5F7F8"/>
          </w:tcPr>
          <w:p>
            <w:pPr>
              <w:spacing w:after="0"/>
            </w:pPr>
            <w:r>
              <w:rPr>
                <w:sz w:val="15"/>
              </w:rPr>
              <w:t>Measure outcomes across divisions and student support conditions.</w:t>
            </w:r>
          </w:p>
        </w:tc>
      </w:tr>
    </w:tbl>
    <w:p>
      <w:pPr>
        <w:spacing w:after="60"/>
      </w:pPr>
      <w:r>
        <w:rPr>
          <w:b/>
        </w:rPr>
        <w:t xml:space="preserve">Scorecard consequence  </w:t>
      </w:r>
      <w:r>
        <w:t>Credit governance and trust protections; hold outcome credit until unaided cross-domain transfer is demonstrated.</w:t>
      </w:r>
    </w:p>
    <w:p>
      <w:pPr>
        <w:spacing w:before="100" w:after="40"/>
      </w:pPr>
      <w:r>
        <w:rPr>
          <w:b/>
        </w:rPr>
        <w:t xml:space="preserve">Official sources  </w:t>
      </w:r>
      <w:hyperlink r:id="rId21">
        <w:r>
          <w:rPr>
            <w:color w:val="346887"/>
            <w:u w:val="single"/>
          </w:rPr>
          <w:t>Institute AI guidance</w:t>
        </w:r>
      </w:hyperlink>
      <w:r>
        <w:t xml:space="preserve">  |  </w:t>
      </w:r>
      <w:hyperlink r:id="rId22">
        <w:r>
          <w:rPr>
            <w:color w:val="346887"/>
            <w:u w:val="single"/>
          </w:rPr>
          <w:t>AI in teaching</w:t>
        </w:r>
      </w:hyperlink>
      <w:r>
        <w:t xml:space="preserve">  |  </w:t>
      </w:r>
      <w:hyperlink r:id="rId23">
        <w:r>
          <w:rPr>
            <w:color w:val="346887"/>
            <w:u w:val="single"/>
          </w:rPr>
          <w:t>HSS policy</w:t>
        </w:r>
      </w:hyperlink>
      <w:r>
        <w:t xml:space="preserve">  |  </w:t>
      </w:r>
      <w:hyperlink r:id="rId24">
        <w:r>
          <w:rPr>
            <w:color w:val="346887"/>
            <w:u w:val="single"/>
          </w:rPr>
          <w:t>Ethics course</w:t>
        </w:r>
      </w:hyperlink>
    </w:p>
    <w:p>
      <w:r>
        <w:br w:type="page"/>
      </w:r>
    </w:p>
    <w:p>
      <w:pPr>
        <w:pStyle w:val="Heading1"/>
      </w:pPr>
      <w:r>
        <w:t>Ledger 6  Loyola Marymount University</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Higher education</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LMU offers practical AI-free and AI-integrated options, protected tools, and reasonable alternatives, but implementation breadth and results remain uncertain.</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PH-2</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Formation purpose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Whole-person and ethical aims are visible, but the reviewed AI materials do not establish common unaided outcomes.</w:t>
            </w:r>
          </w:p>
        </w:tc>
        <w:tc>
          <w:tcPr>
            <w:tcW w:type="dxa" w:w="3816"/>
            <w:vAlign w:val="center"/>
            <w:tcMar>
              <w:top w:w="80" w:type="dxa"/>
              <w:start w:w="90" w:type="dxa"/>
              <w:bottom w:w="80" w:type="dxa"/>
              <w:end w:w="90" w:type="dxa"/>
            </w:tcMar>
          </w:tcPr>
          <w:p>
            <w:pPr>
              <w:spacing w:after="0"/>
            </w:pPr>
            <w:r>
              <w:rPr>
                <w:sz w:val="15"/>
              </w:rPr>
              <w:t>Tie course choices to judgment, authorship, vocation, and relationship aims.</w:t>
            </w:r>
          </w:p>
        </w:tc>
      </w:tr>
      <w:tr>
        <w:trPr>
          <w:cantSplit/>
        </w:trPr>
        <w:tc>
          <w:tcPr>
            <w:tcW w:type="dxa" w:w="1699"/>
            <w:vAlign w:val="center"/>
            <w:tcMar>
              <w:top w:w="80" w:type="dxa"/>
              <w:start w:w="90" w:type="dxa"/>
              <w:bottom w:w="80" w:type="dxa"/>
              <w:end w:w="90" w:type="dxa"/>
            </w:tcMar>
            <w:shd w:fill="F5F7F8"/>
          </w:tcPr>
          <w:p>
            <w:pPr>
              <w:spacing w:after="0"/>
            </w:pPr>
            <w:r>
              <w:rPr>
                <w:b/>
                <w:sz w:val="15"/>
              </w:rPr>
              <w:t>AI rule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Faculty and departments determine use within academic-honesty, security, and privacy requirements.</w:t>
            </w:r>
          </w:p>
        </w:tc>
        <w:tc>
          <w:tcPr>
            <w:tcW w:type="dxa" w:w="3816"/>
            <w:vAlign w:val="center"/>
            <w:tcMar>
              <w:top w:w="80" w:type="dxa"/>
              <w:start w:w="90" w:type="dxa"/>
              <w:bottom w:w="80" w:type="dxa"/>
              <w:end w:w="90" w:type="dxa"/>
            </w:tcMar>
            <w:shd w:fill="F5F7F8"/>
          </w:tcPr>
          <w:p>
            <w:pPr>
              <w:spacing w:after="0"/>
            </w:pPr>
            <w:r>
              <w:rPr>
                <w:sz w:val="15"/>
              </w:rPr>
              <w:t>Archive one co-constructed or instructor-set course policy.</w:t>
            </w:r>
          </w:p>
        </w:tc>
      </w:tr>
      <w:tr>
        <w:trPr>
          <w:cantSplit/>
        </w:trPr>
        <w:tc>
          <w:tcPr>
            <w:tcW w:type="dxa" w:w="1699"/>
            <w:vAlign w:val="center"/>
            <w:tcMar>
              <w:top w:w="80" w:type="dxa"/>
              <w:start w:w="90" w:type="dxa"/>
              <w:bottom w:w="80" w:type="dxa"/>
              <w:end w:w="90" w:type="dxa"/>
            </w:tcMar>
          </w:tcPr>
          <w:p>
            <w:pPr>
              <w:spacing w:after="0"/>
            </w:pPr>
            <w:r>
              <w:rPr>
                <w:b/>
                <w:sz w:val="15"/>
              </w:rPr>
              <w:t>Tools and privacy</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LMU provides protected Microsoft Copilot and tells instructors to consider access, cost, privacy, accessibility, and reasonable alternatives.</w:t>
            </w:r>
          </w:p>
        </w:tc>
        <w:tc>
          <w:tcPr>
            <w:tcW w:type="dxa" w:w="3816"/>
            <w:vAlign w:val="center"/>
            <w:tcMar>
              <w:top w:w="80" w:type="dxa"/>
              <w:start w:w="90" w:type="dxa"/>
              <w:bottom w:w="80" w:type="dxa"/>
              <w:end w:w="90" w:type="dxa"/>
            </w:tcMar>
          </w:tcPr>
          <w:p>
            <w:pPr>
              <w:spacing w:after="0"/>
            </w:pPr>
            <w:r>
              <w:rPr>
                <w:sz w:val="15"/>
              </w:rPr>
              <w:t>Verify configuration, retention, accommodation, and actual alternatives.</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A06716"/>
                <w:sz w:val="15"/>
              </w:rPr>
              <w:t>P</w:t>
            </w:r>
          </w:p>
        </w:tc>
        <w:tc>
          <w:tcPr>
            <w:tcW w:type="dxa" w:w="3917"/>
            <w:vAlign w:val="center"/>
            <w:tcMar>
              <w:top w:w="80" w:type="dxa"/>
              <w:start w:w="90" w:type="dxa"/>
              <w:bottom w:w="80" w:type="dxa"/>
              <w:end w:w="90" w:type="dxa"/>
            </w:tcMar>
            <w:shd w:fill="F5F7F8"/>
          </w:tcPr>
          <w:p>
            <w:pPr>
              <w:spacing w:after="0"/>
            </w:pPr>
            <w:r>
              <w:rPr>
                <w:sz w:val="15"/>
              </w:rPr>
              <w:t>AI-free, AI-integrated, and co-constructed policy models are published as teaching options.</w:t>
            </w:r>
          </w:p>
        </w:tc>
        <w:tc>
          <w:tcPr>
            <w:tcW w:type="dxa" w:w="3816"/>
            <w:vAlign w:val="center"/>
            <w:tcMar>
              <w:top w:w="80" w:type="dxa"/>
              <w:start w:w="90" w:type="dxa"/>
              <w:bottom w:w="80" w:type="dxa"/>
              <w:end w:w="90" w:type="dxa"/>
            </w:tcMar>
            <w:shd w:fill="F5F7F8"/>
          </w:tcPr>
          <w:p>
            <w:pPr>
              <w:spacing w:after="0"/>
            </w:pPr>
            <w:r>
              <w:rPr>
                <w:sz w:val="15"/>
              </w:rPr>
              <w:t>Preserve the initial rule, student discussion, revisions, assignments, and disclosures.</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AI-free work is structurally available, but a common oral or supervised verification standard is not public.</w:t>
            </w:r>
          </w:p>
        </w:tc>
        <w:tc>
          <w:tcPr>
            <w:tcW w:type="dxa" w:w="3816"/>
            <w:vAlign w:val="center"/>
            <w:tcMar>
              <w:top w:w="80" w:type="dxa"/>
              <w:start w:w="90" w:type="dxa"/>
              <w:bottom w:w="80" w:type="dxa"/>
              <w:end w:w="90" w:type="dxa"/>
            </w:tcMar>
          </w:tcPr>
          <w:p>
            <w:pPr>
              <w:spacing w:after="0"/>
            </w:pPr>
            <w:r>
              <w:rPr>
                <w:sz w:val="15"/>
              </w:rPr>
              <w:t>Use an AI-free anchor assignment plus oral explanation or supervised revision.</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No public results establish effects on independent judgment, writing, workload, help-seeking, belonging, or family and peer support.</w:t>
            </w:r>
          </w:p>
        </w:tc>
        <w:tc>
          <w:tcPr>
            <w:tcW w:type="dxa" w:w="3816"/>
            <w:vAlign w:val="center"/>
            <w:tcMar>
              <w:top w:w="80" w:type="dxa"/>
              <w:start w:w="90" w:type="dxa"/>
              <w:bottom w:w="80" w:type="dxa"/>
              <w:end w:w="90" w:type="dxa"/>
            </w:tcMar>
            <w:shd w:fill="F5F7F8"/>
          </w:tcPr>
          <w:p>
            <w:pPr>
              <w:spacing w:after="0"/>
            </w:pPr>
            <w:r>
              <w:rPr>
                <w:sz w:val="15"/>
              </w:rPr>
              <w:t>Measure choices and results rather than policy availability.</w:t>
            </w:r>
          </w:p>
        </w:tc>
      </w:tr>
    </w:tbl>
    <w:p>
      <w:pPr>
        <w:spacing w:after="60"/>
      </w:pPr>
      <w:r>
        <w:rPr>
          <w:b/>
        </w:rPr>
        <w:t xml:space="preserve">Scorecard consequence  </w:t>
      </w:r>
      <w:r>
        <w:t>Credit agency, alternatives, and protected access; withhold outcome credit until independent performance is documented.</w:t>
      </w:r>
    </w:p>
    <w:p>
      <w:pPr>
        <w:spacing w:before="100" w:after="40"/>
      </w:pPr>
      <w:r>
        <w:rPr>
          <w:b/>
        </w:rPr>
        <w:t xml:space="preserve">Official sources  </w:t>
      </w:r>
      <w:hyperlink r:id="rId25">
        <w:r>
          <w:rPr>
            <w:color w:val="346887"/>
            <w:u w:val="single"/>
          </w:rPr>
          <w:t>AI teaching hub</w:t>
        </w:r>
      </w:hyperlink>
      <w:r>
        <w:t xml:space="preserve">  |  </w:t>
      </w:r>
      <w:hyperlink r:id="rId26">
        <w:r>
          <w:rPr>
            <w:color w:val="346887"/>
            <w:u w:val="single"/>
          </w:rPr>
          <w:t>AI tools</w:t>
        </w:r>
      </w:hyperlink>
      <w:r>
        <w:t xml:space="preserve">  |  </w:t>
      </w:r>
      <w:hyperlink r:id="rId27">
        <w:r>
          <w:rPr>
            <w:color w:val="346887"/>
            <w:u w:val="single"/>
          </w:rPr>
          <w:t>Academic honesty</w:t>
        </w:r>
      </w:hyperlink>
    </w:p>
    <w:p>
      <w:r>
        <w:br w:type="page"/>
      </w:r>
    </w:p>
    <w:p>
      <w:pPr>
        <w:pStyle w:val="Heading1"/>
      </w:pPr>
      <w:r>
        <w:t>Ledger 7  Thomas Aquinas College</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Higher education</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The current California Code of Conduct resolves and supersedes the earlier public-policy gap; implementation, accessibility, and comparative outcomes still require evidence.</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PH-2</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Prior ledger claim</w:t>
            </w:r>
          </w:p>
        </w:tc>
        <w:tc>
          <w:tcPr>
            <w:tcW w:type="dxa" w:w="792"/>
            <w:vAlign w:val="center"/>
            <w:tcMar>
              <w:top w:w="80" w:type="dxa"/>
              <w:start w:w="90" w:type="dxa"/>
              <w:bottom w:w="80" w:type="dxa"/>
              <w:end w:w="90" w:type="dxa"/>
            </w:tcMar>
          </w:tcPr>
          <w:p>
            <w:pPr>
              <w:spacing w:after="0"/>
            </w:pPr>
            <w:r>
              <w:rPr>
                <w:b/>
                <w:color w:val="5C6369"/>
                <w:sz w:val="15"/>
              </w:rPr>
              <w:t>S</w:t>
            </w:r>
          </w:p>
        </w:tc>
        <w:tc>
          <w:tcPr>
            <w:tcW w:type="dxa" w:w="3917"/>
            <w:vAlign w:val="center"/>
            <w:tcMar>
              <w:top w:w="80" w:type="dxa"/>
              <w:start w:w="90" w:type="dxa"/>
              <w:bottom w:w="80" w:type="dxa"/>
              <w:end w:w="90" w:type="dxa"/>
            </w:tcMar>
          </w:tcPr>
          <w:p>
            <w:pPr>
              <w:spacing w:after="0"/>
            </w:pPr>
            <w:r>
              <w:rPr>
                <w:sz w:val="15"/>
              </w:rPr>
              <w:t>Phase Seven recorded a complete student-facing AI rule as not publicly found.</w:t>
            </w:r>
          </w:p>
        </w:tc>
        <w:tc>
          <w:tcPr>
            <w:tcW w:type="dxa" w:w="3816"/>
            <w:vAlign w:val="center"/>
            <w:tcMar>
              <w:top w:w="80" w:type="dxa"/>
              <w:start w:w="90" w:type="dxa"/>
              <w:bottom w:w="80" w:type="dxa"/>
              <w:end w:w="90" w:type="dxa"/>
            </w:tcMar>
          </w:tcPr>
          <w:p>
            <w:pPr>
              <w:spacing w:after="0"/>
            </w:pPr>
            <w:r>
              <w:rPr>
                <w:sz w:val="15"/>
              </w:rPr>
              <w:t>Retain the old finding only as dated history.</w:t>
            </w:r>
          </w:p>
        </w:tc>
      </w:tr>
      <w:tr>
        <w:trPr>
          <w:cantSplit/>
        </w:trPr>
        <w:tc>
          <w:tcPr>
            <w:tcW w:type="dxa" w:w="1699"/>
            <w:vAlign w:val="center"/>
            <w:tcMar>
              <w:top w:w="80" w:type="dxa"/>
              <w:start w:w="90" w:type="dxa"/>
              <w:bottom w:w="80" w:type="dxa"/>
              <w:end w:w="90" w:type="dxa"/>
            </w:tcMar>
            <w:shd w:fill="F5F7F8"/>
          </w:tcPr>
          <w:p>
            <w:pPr>
              <w:spacing w:after="0"/>
            </w:pPr>
            <w:r>
              <w:rPr>
                <w:b/>
                <w:sz w:val="15"/>
              </w:rPr>
              <w:t>Current AI rule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The Code prohibits AI and AI-enabled search engines in generating academic papers, including finding texts, outlining, arguments, sentences, editing, and tools such as Grammarly.</w:t>
            </w:r>
          </w:p>
        </w:tc>
        <w:tc>
          <w:tcPr>
            <w:tcW w:type="dxa" w:w="3816"/>
            <w:vAlign w:val="center"/>
            <w:tcMar>
              <w:top w:w="80" w:type="dxa"/>
              <w:start w:w="90" w:type="dxa"/>
              <w:bottom w:w="80" w:type="dxa"/>
              <w:end w:w="90" w:type="dxa"/>
            </w:tcMar>
            <w:shd w:fill="F5F7F8"/>
          </w:tcPr>
          <w:p>
            <w:pPr>
              <w:spacing w:after="0"/>
            </w:pPr>
            <w:r>
              <w:rPr>
                <w:sz w:val="15"/>
              </w:rPr>
              <w:t>Preserve the current code and senior-thesis handout.</w:t>
            </w:r>
          </w:p>
        </w:tc>
      </w:tr>
      <w:tr>
        <w:trPr>
          <w:cantSplit/>
        </w:trPr>
        <w:tc>
          <w:tcPr>
            <w:tcW w:type="dxa" w:w="1699"/>
            <w:vAlign w:val="center"/>
            <w:tcMar>
              <w:top w:w="80" w:type="dxa"/>
              <w:start w:w="90" w:type="dxa"/>
              <w:bottom w:w="80" w:type="dxa"/>
              <w:end w:w="90" w:type="dxa"/>
            </w:tcMar>
          </w:tcPr>
          <w:p>
            <w:pPr>
              <w:spacing w:after="0"/>
            </w:pPr>
            <w:r>
              <w:rPr>
                <w:b/>
                <w:sz w:val="15"/>
              </w:rPr>
              <w:t>Formation architecture</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The published syllabus centers original texts, tutorials, seminars, mathematical demonstrations, laboratories, composition, and conversation.</w:t>
            </w:r>
          </w:p>
        </w:tc>
        <w:tc>
          <w:tcPr>
            <w:tcW w:type="dxa" w:w="3816"/>
            <w:vAlign w:val="center"/>
            <w:tcMar>
              <w:top w:w="80" w:type="dxa"/>
              <w:start w:w="90" w:type="dxa"/>
              <w:bottom w:w="80" w:type="dxa"/>
              <w:end w:w="90" w:type="dxa"/>
            </w:tcMar>
          </w:tcPr>
          <w:p>
            <w:pPr>
              <w:spacing w:after="0"/>
            </w:pPr>
            <w:r>
              <w:rPr>
                <w:sz w:val="15"/>
              </w:rPr>
              <w:t>Document how the AI rule operates inside these practices.</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5B4D91"/>
                <w:sz w:val="15"/>
              </w:rPr>
              <w:t>R</w:t>
            </w:r>
          </w:p>
        </w:tc>
        <w:tc>
          <w:tcPr>
            <w:tcW w:type="dxa" w:w="3917"/>
            <w:vAlign w:val="center"/>
            <w:tcMar>
              <w:top w:w="80" w:type="dxa"/>
              <w:start w:w="90" w:type="dxa"/>
              <w:bottom w:w="80" w:type="dxa"/>
              <w:end w:w="90" w:type="dxa"/>
            </w:tcMar>
            <w:shd w:fill="F5F7F8"/>
          </w:tcPr>
          <w:p>
            <w:pPr>
              <w:spacing w:after="0"/>
            </w:pPr>
            <w:r>
              <w:rPr>
                <w:sz w:val="15"/>
              </w:rPr>
              <w:t>Composition and the senior thesis are selected, but drafts, tutor comments, oral defenses, exceptions, and accommodations are not public.</w:t>
            </w:r>
          </w:p>
        </w:tc>
        <w:tc>
          <w:tcPr>
            <w:tcW w:type="dxa" w:w="3816"/>
            <w:vAlign w:val="center"/>
            <w:tcMar>
              <w:top w:w="80" w:type="dxa"/>
              <w:start w:w="90" w:type="dxa"/>
              <w:bottom w:w="80" w:type="dxa"/>
              <w:end w:w="90" w:type="dxa"/>
            </w:tcMar>
            <w:shd w:fill="F5F7F8"/>
          </w:tcPr>
          <w:p>
            <w:pPr>
              <w:spacing w:after="0"/>
            </w:pPr>
            <w:r>
              <w:rPr>
                <w:sz w:val="15"/>
              </w:rPr>
              <w:t>Capture the complete assignment chain and senior guidance.</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The program contains inherently human oral, written, mathematical, and laboratory performances; public scoring and reliability evidence are incomplete.</w:t>
            </w:r>
          </w:p>
        </w:tc>
        <w:tc>
          <w:tcPr>
            <w:tcW w:type="dxa" w:w="3816"/>
            <w:vAlign w:val="center"/>
            <w:tcMar>
              <w:top w:w="80" w:type="dxa"/>
              <w:start w:w="90" w:type="dxa"/>
              <w:bottom w:w="80" w:type="dxa"/>
              <w:end w:w="90" w:type="dxa"/>
            </w:tcMar>
          </w:tcPr>
          <w:p>
            <w:pPr>
              <w:spacing w:after="0"/>
            </w:pPr>
            <w:r>
              <w:rPr>
                <w:sz w:val="15"/>
              </w:rPr>
              <w:t>Document rubrics, consistency, and links among measures.</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A06716"/>
                <w:sz w:val="15"/>
              </w:rPr>
              <w:t>P</w:t>
            </w:r>
          </w:p>
        </w:tc>
        <w:tc>
          <w:tcPr>
            <w:tcW w:type="dxa" w:w="3917"/>
            <w:vAlign w:val="center"/>
            <w:tcMar>
              <w:top w:w="80" w:type="dxa"/>
              <w:start w:w="90" w:type="dxa"/>
              <w:bottom w:w="80" w:type="dxa"/>
              <w:end w:w="90" w:type="dxa"/>
            </w:tcMar>
            <w:shd w:fill="F5F7F8"/>
          </w:tcPr>
          <w:p>
            <w:pPr>
              <w:spacing w:after="0"/>
            </w:pPr>
            <w:r>
              <w:rPr>
                <w:sz w:val="15"/>
              </w:rPr>
              <w:t>The College reports weaker engagement during emergency online instruction, but this is not a causal or comparative wellness study.</w:t>
            </w:r>
          </w:p>
        </w:tc>
        <w:tc>
          <w:tcPr>
            <w:tcW w:type="dxa" w:w="3816"/>
            <w:vAlign w:val="center"/>
            <w:tcMar>
              <w:top w:w="80" w:type="dxa"/>
              <w:start w:w="90" w:type="dxa"/>
              <w:bottom w:w="80" w:type="dxa"/>
              <w:end w:w="90" w:type="dxa"/>
            </w:tcMar>
            <w:shd w:fill="F5F7F8"/>
          </w:tcPr>
          <w:p>
            <w:pPr>
              <w:spacing w:after="0"/>
            </w:pPr>
            <w:r>
              <w:rPr>
                <w:sz w:val="15"/>
              </w:rPr>
              <w:t>Examine learning, friendship, exercise, attention, community, accessibility, and later responsible AI use.</w:t>
            </w:r>
          </w:p>
        </w:tc>
      </w:tr>
    </w:tbl>
    <w:p>
      <w:pPr>
        <w:spacing w:after="60"/>
      </w:pPr>
      <w:r>
        <w:rPr>
          <w:b/>
        </w:rPr>
        <w:t xml:space="preserve">Scorecard consequence  </w:t>
      </w:r>
      <w:r>
        <w:t>Raise verified AI-governance and formation-alignment scores; do not infer measured superiority without comparable outcomes.</w:t>
      </w:r>
    </w:p>
    <w:p>
      <w:pPr>
        <w:spacing w:before="100" w:after="40"/>
      </w:pPr>
      <w:r>
        <w:rPr>
          <w:b/>
        </w:rPr>
        <w:t xml:space="preserve">Official sources  </w:t>
      </w:r>
      <w:hyperlink r:id="rId28">
        <w:r>
          <w:rPr>
            <w:color w:val="346887"/>
            <w:u w:val="single"/>
          </w:rPr>
          <w:t>California Code</w:t>
        </w:r>
      </w:hyperlink>
      <w:r>
        <w:t xml:space="preserve">  |  </w:t>
      </w:r>
      <w:hyperlink r:id="rId29">
        <w:r>
          <w:rPr>
            <w:color w:val="346887"/>
            <w:u w:val="single"/>
          </w:rPr>
          <w:t>Syllabus</w:t>
        </w:r>
      </w:hyperlink>
      <w:r>
        <w:t xml:space="preserve">  |  </w:t>
      </w:r>
      <w:hyperlink r:id="rId30">
        <w:r>
          <w:rPr>
            <w:color w:val="346887"/>
            <w:u w:val="single"/>
          </w:rPr>
          <w:t>AI and human flourishing</w:t>
        </w:r>
      </w:hyperlink>
      <w:r>
        <w:t xml:space="preserve">  |  </w:t>
      </w:r>
      <w:hyperlink r:id="rId31">
        <w:r>
          <w:rPr>
            <w:color w:val="346887"/>
            <w:u w:val="single"/>
          </w:rPr>
          <w:t>Online transition</w:t>
        </w:r>
      </w:hyperlink>
    </w:p>
    <w:p>
      <w:r>
        <w:br w:type="page"/>
      </w:r>
    </w:p>
    <w:p>
      <w:pPr>
        <w:pStyle w:val="Heading1"/>
      </w:pPr>
      <w:r>
        <w:t>Ledger 8  Mother of Divine Grace School</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K through 12</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Mother of Divine Grace supplies the strongest family-mediated developmental model in the sample; public age-specific AI governance remains the central gap.</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PH-2</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Institutional level</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Mother of Divine Grace is a private Catholic K-through-12 distance and home-education program, not a university.</w:t>
            </w:r>
          </w:p>
        </w:tc>
        <w:tc>
          <w:tcPr>
            <w:tcW w:type="dxa" w:w="3816"/>
            <w:vAlign w:val="center"/>
            <w:tcMar>
              <w:top w:w="80" w:type="dxa"/>
              <w:start w:w="90" w:type="dxa"/>
              <w:bottom w:w="80" w:type="dxa"/>
              <w:end w:w="90" w:type="dxa"/>
            </w:tcMar>
          </w:tcPr>
          <w:p>
            <w:pPr>
              <w:spacing w:after="0"/>
            </w:pPr>
            <w:r>
              <w:rPr>
                <w:sz w:val="15"/>
              </w:rPr>
              <w:t>Keep all evaluation developmental and parent-centered.</w:t>
            </w:r>
          </w:p>
        </w:tc>
      </w:tr>
      <w:tr>
        <w:trPr>
          <w:cantSplit/>
        </w:trPr>
        <w:tc>
          <w:tcPr>
            <w:tcW w:type="dxa" w:w="1699"/>
            <w:vAlign w:val="center"/>
            <w:tcMar>
              <w:top w:w="80" w:type="dxa"/>
              <w:start w:w="90" w:type="dxa"/>
              <w:bottom w:w="80" w:type="dxa"/>
              <w:end w:w="90" w:type="dxa"/>
            </w:tcMar>
            <w:shd w:fill="F5F7F8"/>
          </w:tcPr>
          <w:p>
            <w:pPr>
              <w:spacing w:after="0"/>
            </w:pPr>
            <w:r>
              <w:rPr>
                <w:b/>
                <w:sz w:val="15"/>
              </w:rPr>
              <w:t>Formation architecture</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The published method uses primary, grammatical, dialectical, and rhetorical stages with integral parent responsibility.</w:t>
            </w:r>
          </w:p>
        </w:tc>
        <w:tc>
          <w:tcPr>
            <w:tcW w:type="dxa" w:w="3816"/>
            <w:vAlign w:val="center"/>
            <w:tcMar>
              <w:top w:w="80" w:type="dxa"/>
              <w:start w:w="90" w:type="dxa"/>
              <w:bottom w:w="80" w:type="dxa"/>
              <w:end w:w="90" w:type="dxa"/>
            </w:tcMar>
            <w:shd w:fill="F5F7F8"/>
          </w:tcPr>
          <w:p>
            <w:pPr>
              <w:spacing w:after="0"/>
            </w:pPr>
            <w:r>
              <w:rPr>
                <w:sz w:val="15"/>
              </w:rPr>
              <w:t>Preserve the stage-specific learning aims and parent role.</w:t>
            </w:r>
          </w:p>
        </w:tc>
      </w:tr>
      <w:tr>
        <w:trPr>
          <w:cantSplit/>
        </w:trPr>
        <w:tc>
          <w:tcPr>
            <w:tcW w:type="dxa" w:w="1699"/>
            <w:vAlign w:val="center"/>
            <w:tcMar>
              <w:top w:w="80" w:type="dxa"/>
              <w:start w:w="90" w:type="dxa"/>
              <w:bottom w:w="80" w:type="dxa"/>
              <w:end w:w="90" w:type="dxa"/>
            </w:tcMar>
          </w:tcPr>
          <w:p>
            <w:pPr>
              <w:spacing w:after="0"/>
            </w:pPr>
            <w:r>
              <w:rPr>
                <w:b/>
                <w:sz w:val="15"/>
              </w:rPr>
              <w:t>AI rule</w:t>
            </w:r>
          </w:p>
        </w:tc>
        <w:tc>
          <w:tcPr>
            <w:tcW w:type="dxa" w:w="792"/>
            <w:vAlign w:val="center"/>
            <w:tcMar>
              <w:top w:w="80" w:type="dxa"/>
              <w:start w:w="90" w:type="dxa"/>
              <w:bottom w:w="80" w:type="dxa"/>
              <w:end w:w="90" w:type="dxa"/>
            </w:tcMar>
          </w:tcPr>
          <w:p>
            <w:pPr>
              <w:spacing w:after="0"/>
            </w:pPr>
            <w:r>
              <w:rPr>
                <w:b/>
                <w:color w:val="9D2F2F"/>
                <w:sz w:val="15"/>
              </w:rPr>
              <w:t>M</w:t>
            </w:r>
          </w:p>
        </w:tc>
        <w:tc>
          <w:tcPr>
            <w:tcW w:type="dxa" w:w="3917"/>
            <w:vAlign w:val="center"/>
            <w:tcMar>
              <w:top w:w="80" w:type="dxa"/>
              <w:start w:w="90" w:type="dxa"/>
              <w:bottom w:w="80" w:type="dxa"/>
              <w:end w:w="90" w:type="dxa"/>
            </w:tcMar>
          </w:tcPr>
          <w:p>
            <w:pPr>
              <w:spacing w:after="0"/>
            </w:pPr>
            <w:r>
              <w:rPr>
                <w:sz w:val="15"/>
              </w:rPr>
              <w:t>No complete public generative-AI rule, approved-tool list, age threshold, or consent framework was located.</w:t>
            </w:r>
          </w:p>
        </w:tc>
        <w:tc>
          <w:tcPr>
            <w:tcW w:type="dxa" w:w="3816"/>
            <w:vAlign w:val="center"/>
            <w:tcMar>
              <w:top w:w="80" w:type="dxa"/>
              <w:start w:w="90" w:type="dxa"/>
              <w:bottom w:w="80" w:type="dxa"/>
              <w:end w:w="90" w:type="dxa"/>
            </w:tcMar>
          </w:tcPr>
          <w:p>
            <w:pPr>
              <w:spacing w:after="0"/>
            </w:pPr>
            <w:r>
              <w:rPr>
                <w:sz w:val="15"/>
              </w:rPr>
              <w:t>Locate official guidance by developmental stage, if it exists.</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5B4D91"/>
                <w:sz w:val="15"/>
              </w:rPr>
              <w:t>R</w:t>
            </w:r>
          </w:p>
        </w:tc>
        <w:tc>
          <w:tcPr>
            <w:tcW w:type="dxa" w:w="3917"/>
            <w:vAlign w:val="center"/>
            <w:tcMar>
              <w:top w:w="80" w:type="dxa"/>
              <w:start w:w="90" w:type="dxa"/>
              <w:bottom w:w="80" w:type="dxa"/>
              <w:end w:w="90" w:type="dxa"/>
            </w:tcMar>
            <w:shd w:fill="F5F7F8"/>
          </w:tcPr>
          <w:p>
            <w:pPr>
              <w:spacing w:after="0"/>
            </w:pPr>
            <w:r>
              <w:rPr>
                <w:sz w:val="15"/>
              </w:rPr>
              <w:t>Grades 6 through 9 logic and composition are selected, but lesson plans, drafts, rubrics, and digital-tool records are not public.</w:t>
            </w:r>
          </w:p>
        </w:tc>
        <w:tc>
          <w:tcPr>
            <w:tcW w:type="dxa" w:w="3816"/>
            <w:vAlign w:val="center"/>
            <w:tcMar>
              <w:top w:w="80" w:type="dxa"/>
              <w:start w:w="90" w:type="dxa"/>
              <w:bottom w:w="80" w:type="dxa"/>
              <w:end w:w="90" w:type="dxa"/>
            </w:tcMar>
            <w:shd w:fill="F5F7F8"/>
          </w:tcPr>
          <w:p>
            <w:pPr>
              <w:spacing w:after="0"/>
            </w:pPr>
            <w:r>
              <w:rPr>
                <w:sz w:val="15"/>
              </w:rPr>
              <w:t>Capture the home lesson, parent role, feedback, and student artifact.</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Published pedagogy supports narration, recitation, handwriting, composition, analysis, and discussion, but comparable scored evidence is unavailable.</w:t>
            </w:r>
          </w:p>
        </w:tc>
        <w:tc>
          <w:tcPr>
            <w:tcW w:type="dxa" w:w="3816"/>
            <w:vAlign w:val="center"/>
            <w:tcMar>
              <w:top w:w="80" w:type="dxa"/>
              <w:start w:w="90" w:type="dxa"/>
              <w:bottom w:w="80" w:type="dxa"/>
              <w:end w:w="90" w:type="dxa"/>
            </w:tcMar>
          </w:tcPr>
          <w:p>
            <w:pPr>
              <w:spacing w:after="0"/>
            </w:pPr>
            <w:r>
              <w:rPr>
                <w:sz w:val="15"/>
              </w:rPr>
              <w:t>Document one supervised composition and oral explanation before any AI comparison.</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A06716"/>
                <w:sz w:val="15"/>
              </w:rPr>
              <w:t>P</w:t>
            </w:r>
          </w:p>
        </w:tc>
        <w:tc>
          <w:tcPr>
            <w:tcW w:type="dxa" w:w="3917"/>
            <w:vAlign w:val="center"/>
            <w:tcMar>
              <w:top w:w="80" w:type="dxa"/>
              <w:start w:w="90" w:type="dxa"/>
              <w:bottom w:w="80" w:type="dxa"/>
              <w:end w:w="90" w:type="dxa"/>
            </w:tcMar>
            <w:shd w:fill="F5F7F8"/>
          </w:tcPr>
          <w:p>
            <w:pPr>
              <w:spacing w:after="0"/>
            </w:pPr>
            <w:r>
              <w:rPr>
                <w:sz w:val="15"/>
              </w:rPr>
              <w:t>The school distinguishes prepared homeschooling from crisis schooling and recognizes family stress, fear, isolation, and lost friendships.</w:t>
            </w:r>
          </w:p>
        </w:tc>
        <w:tc>
          <w:tcPr>
            <w:tcW w:type="dxa" w:w="3816"/>
            <w:vAlign w:val="center"/>
            <w:tcMar>
              <w:top w:w="80" w:type="dxa"/>
              <w:start w:w="90" w:type="dxa"/>
              <w:bottom w:w="80" w:type="dxa"/>
              <w:end w:w="90" w:type="dxa"/>
            </w:tcMar>
            <w:shd w:fill="F5F7F8"/>
          </w:tcPr>
          <w:p>
            <w:pPr>
              <w:spacing w:after="0"/>
            </w:pPr>
            <w:r>
              <w:rPr>
                <w:sz w:val="15"/>
              </w:rPr>
              <w:t>Compare learning and wellness across family support and peer-connection conditions.</w:t>
            </w:r>
          </w:p>
        </w:tc>
      </w:tr>
    </w:tbl>
    <w:p>
      <w:pPr>
        <w:spacing w:after="60"/>
      </w:pPr>
      <w:r>
        <w:rPr>
          <w:b/>
        </w:rPr>
        <w:t xml:space="preserve">Scorecard consequence  </w:t>
      </w:r>
      <w:r>
        <w:t>Maintain a strong formation score; hold AI-readiness scoring until age, consent, privacy, and tool rules are verified.</w:t>
      </w:r>
    </w:p>
    <w:p>
      <w:pPr>
        <w:spacing w:before="100" w:after="40"/>
      </w:pPr>
      <w:r>
        <w:rPr>
          <w:b/>
        </w:rPr>
        <w:t xml:space="preserve">Official sources  </w:t>
      </w:r>
      <w:hyperlink r:id="rId32">
        <w:r>
          <w:rPr>
            <w:color w:val="346887"/>
            <w:u w:val="single"/>
          </w:rPr>
          <w:t>School overview</w:t>
        </w:r>
      </w:hyperlink>
      <w:r>
        <w:t xml:space="preserve">  |  </w:t>
      </w:r>
      <w:hyperlink r:id="rId33">
        <w:r>
          <w:rPr>
            <w:color w:val="346887"/>
            <w:u w:val="single"/>
          </w:rPr>
          <w:t>Methodology</w:t>
        </w:r>
      </w:hyperlink>
      <w:r>
        <w:t xml:space="preserve">  |  </w:t>
      </w:r>
      <w:hyperlink r:id="rId34">
        <w:r>
          <w:rPr>
            <w:color w:val="346887"/>
            <w:u w:val="single"/>
          </w:rPr>
          <w:t>Curriculum stages</w:t>
        </w:r>
      </w:hyperlink>
      <w:r>
        <w:t xml:space="preserve">  |  </w:t>
      </w:r>
      <w:hyperlink r:id="rId35">
        <w:r>
          <w:rPr>
            <w:color w:val="346887"/>
            <w:u w:val="single"/>
          </w:rPr>
          <w:t>Crisis schooling</w:t>
        </w:r>
      </w:hyperlink>
    </w:p>
    <w:p>
      <w:r>
        <w:br w:type="page"/>
      </w:r>
    </w:p>
    <w:p>
      <w:pPr>
        <w:pStyle w:val="Heading1"/>
      </w:pPr>
      <w:r>
        <w:t>Ledger 9  Harvard-Westlake School</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Grades 7 through 12</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The school publishes an AI-ethics learning opportunity, but the operating rules that govern actual student use remain unresolved publicly.</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PH-1</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Formation purpose</w:t>
            </w:r>
          </w:p>
        </w:tc>
        <w:tc>
          <w:tcPr>
            <w:tcW w:type="dxa" w:w="792"/>
            <w:vAlign w:val="center"/>
            <w:tcMar>
              <w:top w:w="80" w:type="dxa"/>
              <w:start w:w="90" w:type="dxa"/>
              <w:bottom w:w="80" w:type="dxa"/>
              <w:end w:w="90" w:type="dxa"/>
            </w:tcMar>
          </w:tcPr>
          <w:p>
            <w:pPr>
              <w:spacing w:after="0"/>
            </w:pPr>
            <w:r>
              <w:rPr>
                <w:b/>
                <w:color w:val="A06716"/>
                <w:sz w:val="15"/>
              </w:rPr>
              <w:t>P</w:t>
            </w:r>
          </w:p>
        </w:tc>
        <w:tc>
          <w:tcPr>
            <w:tcW w:type="dxa" w:w="3917"/>
            <w:vAlign w:val="center"/>
            <w:tcMar>
              <w:top w:w="80" w:type="dxa"/>
              <w:start w:w="90" w:type="dxa"/>
              <w:bottom w:w="80" w:type="dxa"/>
              <w:end w:w="90" w:type="dxa"/>
            </w:tcMar>
          </w:tcPr>
          <w:p>
            <w:pPr>
              <w:spacing w:after="0"/>
            </w:pPr>
            <w:r>
              <w:rPr>
                <w:sz w:val="15"/>
              </w:rPr>
              <w:t>Independent thinking, integrity, research, counseling, and wellness are visible institutional aims.</w:t>
            </w:r>
          </w:p>
        </w:tc>
        <w:tc>
          <w:tcPr>
            <w:tcW w:type="dxa" w:w="3816"/>
            <w:vAlign w:val="center"/>
            <w:tcMar>
              <w:top w:w="80" w:type="dxa"/>
              <w:start w:w="90" w:type="dxa"/>
              <w:bottom w:w="80" w:type="dxa"/>
              <w:end w:w="90" w:type="dxa"/>
            </w:tcMar>
          </w:tcPr>
          <w:p>
            <w:pPr>
              <w:spacing w:after="0"/>
            </w:pPr>
            <w:r>
              <w:rPr>
                <w:sz w:val="15"/>
              </w:rPr>
              <w:t>Tie the AI case to grade-specific developmental outcomes.</w:t>
            </w:r>
          </w:p>
        </w:tc>
      </w:tr>
      <w:tr>
        <w:trPr>
          <w:cantSplit/>
        </w:trPr>
        <w:tc>
          <w:tcPr>
            <w:tcW w:type="dxa" w:w="1699"/>
            <w:vAlign w:val="center"/>
            <w:tcMar>
              <w:top w:w="80" w:type="dxa"/>
              <w:start w:w="90" w:type="dxa"/>
              <w:bottom w:w="80" w:type="dxa"/>
              <w:end w:w="90" w:type="dxa"/>
            </w:tcMar>
            <w:shd w:fill="F5F7F8"/>
          </w:tcPr>
          <w:p>
            <w:pPr>
              <w:spacing w:after="0"/>
            </w:pPr>
            <w:r>
              <w:rPr>
                <w:b/>
                <w:sz w:val="15"/>
              </w:rPr>
              <w:t>AI curriculum</w:t>
            </w:r>
          </w:p>
        </w:tc>
        <w:tc>
          <w:tcPr>
            <w:tcW w:type="dxa" w:w="792"/>
            <w:vAlign w:val="center"/>
            <w:tcMar>
              <w:top w:w="80" w:type="dxa"/>
              <w:start w:w="90" w:type="dxa"/>
              <w:bottom w:w="80" w:type="dxa"/>
              <w:end w:w="90" w:type="dxa"/>
            </w:tcMar>
            <w:shd w:fill="F5F7F8"/>
          </w:tcPr>
          <w:p>
            <w:pPr>
              <w:spacing w:after="0"/>
            </w:pPr>
            <w:r>
              <w:rPr>
                <w:b/>
                <w:color w:val="196743"/>
                <w:sz w:val="15"/>
              </w:rPr>
              <w:t>V</w:t>
            </w:r>
          </w:p>
        </w:tc>
        <w:tc>
          <w:tcPr>
            <w:tcW w:type="dxa" w:w="3917"/>
            <w:vAlign w:val="center"/>
            <w:tcMar>
              <w:top w:w="80" w:type="dxa"/>
              <w:start w:w="90" w:type="dxa"/>
              <w:bottom w:w="80" w:type="dxa"/>
              <w:end w:w="90" w:type="dxa"/>
            </w:tcMar>
            <w:shd w:fill="F5F7F8"/>
          </w:tcPr>
          <w:p>
            <w:pPr>
              <w:spacing w:after="0"/>
            </w:pPr>
            <w:r>
              <w:rPr>
                <w:sz w:val="15"/>
              </w:rPr>
              <w:t>The 2026–27 curriculum guide includes a course on ethics, technology, and society in the age of artificial intelligence.</w:t>
            </w:r>
          </w:p>
        </w:tc>
        <w:tc>
          <w:tcPr>
            <w:tcW w:type="dxa" w:w="3816"/>
            <w:vAlign w:val="center"/>
            <w:tcMar>
              <w:top w:w="80" w:type="dxa"/>
              <w:start w:w="90" w:type="dxa"/>
              <w:bottom w:w="80" w:type="dxa"/>
              <w:end w:w="90" w:type="dxa"/>
            </w:tcMar>
            <w:shd w:fill="F5F7F8"/>
          </w:tcPr>
          <w:p>
            <w:pPr>
              <w:spacing w:after="0"/>
            </w:pPr>
            <w:r>
              <w:rPr>
                <w:sz w:val="15"/>
              </w:rPr>
              <w:t>Preserve the course version and enrollment context.</w:t>
            </w:r>
          </w:p>
        </w:tc>
      </w:tr>
      <w:tr>
        <w:trPr>
          <w:cantSplit/>
        </w:trPr>
        <w:tc>
          <w:tcPr>
            <w:tcW w:type="dxa" w:w="1699"/>
            <w:vAlign w:val="center"/>
            <w:tcMar>
              <w:top w:w="80" w:type="dxa"/>
              <w:start w:w="90" w:type="dxa"/>
              <w:bottom w:w="80" w:type="dxa"/>
              <w:end w:w="90" w:type="dxa"/>
            </w:tcMar>
          </w:tcPr>
          <w:p>
            <w:pPr>
              <w:spacing w:after="0"/>
            </w:pPr>
            <w:r>
              <w:rPr>
                <w:b/>
                <w:sz w:val="15"/>
              </w:rPr>
              <w:t>AI operating rule</w:t>
            </w:r>
          </w:p>
        </w:tc>
        <w:tc>
          <w:tcPr>
            <w:tcW w:type="dxa" w:w="792"/>
            <w:vAlign w:val="center"/>
            <w:tcMar>
              <w:top w:w="80" w:type="dxa"/>
              <w:start w:w="90" w:type="dxa"/>
              <w:bottom w:w="80" w:type="dxa"/>
              <w:end w:w="90" w:type="dxa"/>
            </w:tcMar>
          </w:tcPr>
          <w:p>
            <w:pPr>
              <w:spacing w:after="0"/>
            </w:pPr>
            <w:r>
              <w:rPr>
                <w:b/>
                <w:color w:val="9D2F2F"/>
                <w:sz w:val="15"/>
              </w:rPr>
              <w:t>M</w:t>
            </w:r>
          </w:p>
        </w:tc>
        <w:tc>
          <w:tcPr>
            <w:tcW w:type="dxa" w:w="3917"/>
            <w:vAlign w:val="center"/>
            <w:tcMar>
              <w:top w:w="80" w:type="dxa"/>
              <w:start w:w="90" w:type="dxa"/>
              <w:bottom w:w="80" w:type="dxa"/>
              <w:end w:w="90" w:type="dxa"/>
            </w:tcMar>
          </w:tcPr>
          <w:p>
            <w:pPr>
              <w:spacing w:after="0"/>
            </w:pPr>
            <w:r>
              <w:rPr>
                <w:sz w:val="15"/>
              </w:rPr>
              <w:t>No complete public grades 7-through-12 framework for permissions, disclosure, age, consent, privacy, or integrity was located.</w:t>
            </w:r>
          </w:p>
        </w:tc>
        <w:tc>
          <w:tcPr>
            <w:tcW w:type="dxa" w:w="3816"/>
            <w:vAlign w:val="center"/>
            <w:tcMar>
              <w:top w:w="80" w:type="dxa"/>
              <w:start w:w="90" w:type="dxa"/>
              <w:bottom w:w="80" w:type="dxa"/>
              <w:end w:w="90" w:type="dxa"/>
            </w:tcMar>
          </w:tcPr>
          <w:p>
            <w:pPr>
              <w:spacing w:after="0"/>
            </w:pPr>
            <w:r>
              <w:rPr>
                <w:sz w:val="15"/>
              </w:rPr>
              <w:t>Capture schoolwide, division, and course rules without inferring portal content.</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5B4D91"/>
                <w:sz w:val="15"/>
              </w:rPr>
              <w:t>R</w:t>
            </w:r>
          </w:p>
        </w:tc>
        <w:tc>
          <w:tcPr>
            <w:tcW w:type="dxa" w:w="3917"/>
            <w:vAlign w:val="center"/>
            <w:tcMar>
              <w:top w:w="80" w:type="dxa"/>
              <w:start w:w="90" w:type="dxa"/>
              <w:bottom w:w="80" w:type="dxa"/>
              <w:end w:w="90" w:type="dxa"/>
            </w:tcMar>
            <w:shd w:fill="F5F7F8"/>
          </w:tcPr>
          <w:p>
            <w:pPr>
              <w:spacing w:after="0"/>
            </w:pPr>
            <w:r>
              <w:rPr>
                <w:sz w:val="15"/>
              </w:rPr>
              <w:t>The ethics course is selected, but syllabus, assigned inquiry, prompts, rubric, and student work are not public.</w:t>
            </w:r>
          </w:p>
        </w:tc>
        <w:tc>
          <w:tcPr>
            <w:tcW w:type="dxa" w:w="3816"/>
            <w:vAlign w:val="center"/>
            <w:tcMar>
              <w:top w:w="80" w:type="dxa"/>
              <w:start w:w="90" w:type="dxa"/>
              <w:bottom w:w="80" w:type="dxa"/>
              <w:end w:w="90" w:type="dxa"/>
            </w:tcMar>
            <w:shd w:fill="F5F7F8"/>
          </w:tcPr>
          <w:p>
            <w:pPr>
              <w:spacing w:after="0"/>
            </w:pPr>
            <w:r>
              <w:rPr>
                <w:sz w:val="15"/>
              </w:rPr>
              <w:t>Archive a complete problem-based inquiry and conventional writing comparison.</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9D2F2F"/>
                <w:sz w:val="15"/>
              </w:rPr>
              <w:t>M</w:t>
            </w:r>
          </w:p>
        </w:tc>
        <w:tc>
          <w:tcPr>
            <w:tcW w:type="dxa" w:w="3917"/>
            <w:vAlign w:val="center"/>
            <w:tcMar>
              <w:top w:w="80" w:type="dxa"/>
              <w:start w:w="90" w:type="dxa"/>
              <w:bottom w:w="80" w:type="dxa"/>
              <w:end w:w="90" w:type="dxa"/>
            </w:tcMar>
          </w:tcPr>
          <w:p>
            <w:pPr>
              <w:spacing w:after="0"/>
            </w:pPr>
            <w:r>
              <w:rPr>
                <w:sz w:val="15"/>
              </w:rPr>
              <w:t>No public individually authored essay segment, oral defense, or supervised source-evaluation requirement was established.</w:t>
            </w:r>
          </w:p>
        </w:tc>
        <w:tc>
          <w:tcPr>
            <w:tcW w:type="dxa" w:w="3816"/>
            <w:vAlign w:val="center"/>
            <w:tcMar>
              <w:top w:w="80" w:type="dxa"/>
              <w:start w:w="90" w:type="dxa"/>
              <w:bottom w:w="80" w:type="dxa"/>
              <w:end w:w="90" w:type="dxa"/>
            </w:tcMar>
          </w:tcPr>
          <w:p>
            <w:pPr>
              <w:spacing w:after="0"/>
            </w:pPr>
            <w:r>
              <w:rPr>
                <w:sz w:val="15"/>
              </w:rPr>
              <w:t>Verify a human-authored and orally defended component.</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No public longitudinal series connects AI use with learning, friendship, belonging, sleep, workload, counseling, or teacher reliance.</w:t>
            </w:r>
          </w:p>
        </w:tc>
        <w:tc>
          <w:tcPr>
            <w:tcW w:type="dxa" w:w="3816"/>
            <w:vAlign w:val="center"/>
            <w:tcMar>
              <w:top w:w="80" w:type="dxa"/>
              <w:start w:w="90" w:type="dxa"/>
              <w:bottom w:w="80" w:type="dxa"/>
              <w:end w:w="90" w:type="dxa"/>
            </w:tcMar>
            <w:shd w:fill="F5F7F8"/>
          </w:tcPr>
          <w:p>
            <w:pPr>
              <w:spacing w:after="0"/>
            </w:pPr>
            <w:r>
              <w:rPr>
                <w:sz w:val="15"/>
              </w:rPr>
              <w:t>Measure by grade and prior support condition.</w:t>
            </w:r>
          </w:p>
        </w:tc>
      </w:tr>
    </w:tbl>
    <w:p>
      <w:pPr>
        <w:spacing w:after="60"/>
      </w:pPr>
      <w:r>
        <w:rPr>
          <w:b/>
        </w:rPr>
        <w:t xml:space="preserve">Scorecard consequence  </w:t>
      </w:r>
      <w:r>
        <w:t>Credit the ethics curriculum; withhold AI-governance and independent-performance credit pending operative rules and artifacts.</w:t>
      </w:r>
    </w:p>
    <w:p>
      <w:pPr>
        <w:spacing w:before="100" w:after="40"/>
      </w:pPr>
      <w:r>
        <w:rPr>
          <w:b/>
        </w:rPr>
        <w:t xml:space="preserve">Official sources  </w:t>
      </w:r>
      <w:hyperlink r:id="rId36">
        <w:r>
          <w:rPr>
            <w:color w:val="346887"/>
            <w:u w:val="single"/>
          </w:rPr>
          <w:t>Course descriptions</w:t>
        </w:r>
      </w:hyperlink>
      <w:r>
        <w:t xml:space="preserve">  |  </w:t>
      </w:r>
      <w:hyperlink r:id="rId37">
        <w:r>
          <w:rPr>
            <w:color w:val="346887"/>
            <w:u w:val="single"/>
          </w:rPr>
          <w:t>Independent research</w:t>
        </w:r>
      </w:hyperlink>
      <w:r>
        <w:t xml:space="preserve">  |  </w:t>
      </w:r>
      <w:hyperlink r:id="rId38">
        <w:r>
          <w:rPr>
            <w:color w:val="346887"/>
            <w:u w:val="single"/>
          </w:rPr>
          <w:t>Health and wellness</w:t>
        </w:r>
      </w:hyperlink>
    </w:p>
    <w:p>
      <w:r>
        <w:br w:type="page"/>
      </w:r>
    </w:p>
    <w:p>
      <w:pPr>
        <w:pStyle w:val="Heading1"/>
      </w:pPr>
      <w:r>
        <w:t>Ledger 10  High Tech High</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A425A"/>
            <w:tcMar>
              <w:top w:w="80" w:type="dxa"/>
              <w:start w:w="90" w:type="dxa"/>
              <w:bottom w:w="80" w:type="dxa"/>
              <w:end w:w="90" w:type="dxa"/>
            </w:tcMar>
          </w:tcPr>
          <w:p>
            <w:pPr>
              <w:spacing w:after="0"/>
            </w:pPr>
            <w:r>
              <w:rPr>
                <w:b/>
                <w:color w:val="FFFFFF"/>
                <w:sz w:val="17"/>
              </w:rPr>
              <w:t>Field</w:t>
            </w:r>
          </w:p>
        </w:tc>
        <w:tc>
          <w:tcPr>
            <w:tcW w:type="dxa" w:w="7848"/>
            <w:vAlign w:val="center"/>
            <w:shd w:fill="1A425A"/>
            <w:tcMar>
              <w:top w:w="80" w:type="dxa"/>
              <w:start w:w="90" w:type="dxa"/>
              <w:bottom w:w="80" w:type="dxa"/>
              <w:end w:w="90" w:type="dxa"/>
            </w:tcMar>
          </w:tcPr>
          <w:p>
            <w:pPr>
              <w:spacing w:after="0"/>
            </w:pPr>
            <w:r>
              <w:rPr>
                <w:b/>
                <w:color w:val="FFFFFF"/>
                <w:sz w:val="17"/>
              </w:rPr>
              <w:t>Ledger entry</w:t>
            </w:r>
          </w:p>
        </w:tc>
      </w:tr>
      <w:tr>
        <w:trPr>
          <w:cantSplit/>
        </w:trPr>
        <w:tc>
          <w:tcPr>
            <w:tcW w:type="dxa" w:w="2376"/>
            <w:vAlign w:val="center"/>
            <w:tcMar>
              <w:top w:w="80" w:type="dxa"/>
              <w:start w:w="90" w:type="dxa"/>
              <w:bottom w:w="80" w:type="dxa"/>
              <w:end w:w="90" w:type="dxa"/>
            </w:tcMar>
          </w:tcPr>
          <w:p>
            <w:pPr>
              <w:spacing w:after="0"/>
            </w:pPr>
            <w:r>
              <w:rPr>
                <w:b/>
                <w:sz w:val="17"/>
              </w:rPr>
              <w:t>Education level</w:t>
            </w:r>
          </w:p>
        </w:tc>
        <w:tc>
          <w:tcPr>
            <w:tcW w:type="dxa" w:w="7848"/>
            <w:vAlign w:val="center"/>
            <w:tcMar>
              <w:top w:w="80" w:type="dxa"/>
              <w:start w:w="90" w:type="dxa"/>
              <w:bottom w:w="80" w:type="dxa"/>
              <w:end w:w="90" w:type="dxa"/>
            </w:tcMar>
          </w:tcPr>
          <w:p>
            <w:pPr>
              <w:spacing w:after="0"/>
            </w:pPr>
            <w:r>
              <w:rPr>
                <w:sz w:val="17"/>
              </w:rPr>
              <w:t>K through 12</w:t>
            </w:r>
          </w:p>
        </w:tc>
      </w:tr>
      <w:tr>
        <w:trPr>
          <w:cantSplit/>
        </w:trPr>
        <w:tc>
          <w:tcPr>
            <w:tcW w:type="dxa" w:w="2376"/>
            <w:vAlign w:val="center"/>
            <w:tcMar>
              <w:top w:w="80" w:type="dxa"/>
              <w:start w:w="90" w:type="dxa"/>
              <w:bottom w:w="80" w:type="dxa"/>
              <w:end w:w="90" w:type="dxa"/>
            </w:tcMar>
            <w:shd w:fill="F5F7F8"/>
          </w:tcPr>
          <w:p>
            <w:pPr>
              <w:spacing w:after="0"/>
            </w:pPr>
            <w:r>
              <w:rPr>
                <w:b/>
                <w:sz w:val="17"/>
              </w:rPr>
              <w:t>Current judgment</w:t>
            </w:r>
          </w:p>
        </w:tc>
        <w:tc>
          <w:tcPr>
            <w:tcW w:type="dxa" w:w="7848"/>
            <w:vAlign w:val="center"/>
            <w:tcMar>
              <w:top w:w="80" w:type="dxa"/>
              <w:start w:w="90" w:type="dxa"/>
              <w:bottom w:w="80" w:type="dxa"/>
              <w:end w:w="90" w:type="dxa"/>
            </w:tcMar>
            <w:shd w:fill="F5F7F8"/>
          </w:tcPr>
          <w:p>
            <w:pPr>
              <w:spacing w:after="0"/>
            </w:pPr>
            <w:r>
              <w:rPr>
                <w:sz w:val="17"/>
              </w:rPr>
              <w:t>Board authority and student participation are verified, but the missing operative policy text prevents a complete age, privacy, consent, and assessment judgment.</w:t>
            </w:r>
          </w:p>
        </w:tc>
      </w:tr>
      <w:tr>
        <w:trPr>
          <w:cantSplit/>
        </w:trPr>
        <w:tc>
          <w:tcPr>
            <w:tcW w:type="dxa" w:w="2376"/>
            <w:vAlign w:val="center"/>
            <w:tcMar>
              <w:top w:w="80" w:type="dxa"/>
              <w:start w:w="90" w:type="dxa"/>
              <w:bottom w:w="80" w:type="dxa"/>
              <w:end w:w="90" w:type="dxa"/>
            </w:tcMar>
          </w:tcPr>
          <w:p>
            <w:pPr>
              <w:spacing w:after="0"/>
            </w:pPr>
            <w:r>
              <w:rPr>
                <w:b/>
                <w:sz w:val="17"/>
              </w:rPr>
              <w:t>Protected performance</w:t>
            </w:r>
          </w:p>
        </w:tc>
        <w:tc>
          <w:tcPr>
            <w:tcW w:type="dxa" w:w="7848"/>
            <w:vAlign w:val="center"/>
            <w:tcMar>
              <w:top w:w="80" w:type="dxa"/>
              <w:start w:w="90" w:type="dxa"/>
              <w:bottom w:w="80" w:type="dxa"/>
              <w:end w:w="90" w:type="dxa"/>
            </w:tcMar>
          </w:tcPr>
          <w:p>
            <w:pPr>
              <w:spacing w:after="0"/>
            </w:pPr>
            <w:r>
              <w:rPr>
                <w:sz w:val="17"/>
              </w:rPr>
              <w:t>PH-1</w:t>
            </w:r>
          </w:p>
        </w:tc>
      </w:tr>
    </w:tbl>
    <w:p>
      <w:pPr>
        <w:pStyle w:val="Heading2"/>
      </w:pPr>
      <w:r>
        <w:t>Claim-by-claim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1699"/>
            <w:vAlign w:val="center"/>
            <w:shd w:fill="1A425A"/>
            <w:tcMar>
              <w:top w:w="80" w:type="dxa"/>
              <w:start w:w="90" w:type="dxa"/>
              <w:bottom w:w="80" w:type="dxa"/>
              <w:end w:w="90" w:type="dxa"/>
            </w:tcMar>
          </w:tcPr>
          <w:p>
            <w:pPr>
              <w:spacing w:after="0"/>
            </w:pPr>
            <w:r>
              <w:rPr>
                <w:b/>
                <w:color w:val="FFFFFF"/>
                <w:sz w:val="15"/>
              </w:rPr>
              <w:t>Claim</w:t>
            </w:r>
          </w:p>
        </w:tc>
        <w:tc>
          <w:tcPr>
            <w:tcW w:type="dxa" w:w="792"/>
            <w:vAlign w:val="center"/>
            <w:shd w:fill="1A425A"/>
            <w:tcMar>
              <w:top w:w="80" w:type="dxa"/>
              <w:start w:w="90" w:type="dxa"/>
              <w:bottom w:w="80" w:type="dxa"/>
              <w:end w:w="90" w:type="dxa"/>
            </w:tcMar>
          </w:tcPr>
          <w:p>
            <w:pPr>
              <w:spacing w:after="0"/>
            </w:pPr>
            <w:r>
              <w:rPr>
                <w:b/>
                <w:color w:val="FFFFFF"/>
                <w:sz w:val="15"/>
              </w:rPr>
              <w:t>Status</w:t>
            </w:r>
          </w:p>
        </w:tc>
        <w:tc>
          <w:tcPr>
            <w:tcW w:type="dxa" w:w="3917"/>
            <w:vAlign w:val="center"/>
            <w:shd w:fill="1A425A"/>
            <w:tcMar>
              <w:top w:w="80" w:type="dxa"/>
              <w:start w:w="90" w:type="dxa"/>
              <w:bottom w:w="80" w:type="dxa"/>
              <w:end w:w="90" w:type="dxa"/>
            </w:tcMar>
          </w:tcPr>
          <w:p>
            <w:pPr>
              <w:spacing w:after="0"/>
            </w:pPr>
            <w:r>
              <w:rPr>
                <w:b/>
                <w:color w:val="FFFFFF"/>
                <w:sz w:val="15"/>
              </w:rPr>
              <w:t>Official evidence</w:t>
            </w:r>
          </w:p>
        </w:tc>
        <w:tc>
          <w:tcPr>
            <w:tcW w:type="dxa" w:w="3816"/>
            <w:vAlign w:val="center"/>
            <w:shd w:fill="1A425A"/>
            <w:tcMar>
              <w:top w:w="80" w:type="dxa"/>
              <w:start w:w="90" w:type="dxa"/>
              <w:bottom w:w="80" w:type="dxa"/>
              <w:end w:w="90" w:type="dxa"/>
            </w:tcMar>
          </w:tcPr>
          <w:p>
            <w:pPr>
              <w:spacing w:after="0"/>
            </w:pPr>
            <w:r>
              <w:rPr>
                <w:b/>
                <w:color w:val="FFFFFF"/>
                <w:sz w:val="15"/>
              </w:rPr>
              <w:t>Required confirmation</w:t>
            </w:r>
          </w:p>
        </w:tc>
      </w:tr>
      <w:tr>
        <w:trPr>
          <w:cantSplit/>
        </w:trPr>
        <w:tc>
          <w:tcPr>
            <w:tcW w:type="dxa" w:w="1699"/>
            <w:vAlign w:val="center"/>
            <w:tcMar>
              <w:top w:w="80" w:type="dxa"/>
              <w:start w:w="90" w:type="dxa"/>
              <w:bottom w:w="80" w:type="dxa"/>
              <w:end w:w="90" w:type="dxa"/>
            </w:tcMar>
          </w:tcPr>
          <w:p>
            <w:pPr>
              <w:spacing w:after="0"/>
            </w:pPr>
            <w:r>
              <w:rPr>
                <w:b/>
                <w:sz w:val="15"/>
              </w:rPr>
              <w:t>Policy adoption</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The board approved an Artificial Intelligence Use Policy on May 28, 2025 after discussion involving students, staff, and the High Tech Education Collective.</w:t>
            </w:r>
          </w:p>
        </w:tc>
        <w:tc>
          <w:tcPr>
            <w:tcW w:type="dxa" w:w="3816"/>
            <w:vAlign w:val="center"/>
            <w:tcMar>
              <w:top w:w="80" w:type="dxa"/>
              <w:start w:w="90" w:type="dxa"/>
              <w:bottom w:w="80" w:type="dxa"/>
              <w:end w:w="90" w:type="dxa"/>
            </w:tcMar>
          </w:tcPr>
          <w:p>
            <w:pPr>
              <w:spacing w:after="0"/>
            </w:pPr>
            <w:r>
              <w:rPr>
                <w:sz w:val="15"/>
              </w:rPr>
              <w:t>Preserve the signed or final adopted policy and revision history.</w:t>
            </w:r>
          </w:p>
        </w:tc>
      </w:tr>
      <w:tr>
        <w:trPr>
          <w:cantSplit/>
        </w:trPr>
        <w:tc>
          <w:tcPr>
            <w:tcW w:type="dxa" w:w="1699"/>
            <w:vAlign w:val="center"/>
            <w:tcMar>
              <w:top w:w="80" w:type="dxa"/>
              <w:start w:w="90" w:type="dxa"/>
              <w:bottom w:w="80" w:type="dxa"/>
              <w:end w:w="90" w:type="dxa"/>
            </w:tcMar>
            <w:shd w:fill="F5F7F8"/>
          </w:tcPr>
          <w:p>
            <w:pPr>
              <w:spacing w:after="0"/>
            </w:pPr>
            <w:r>
              <w:rPr>
                <w:b/>
                <w:sz w:val="15"/>
              </w:rPr>
              <w:t>Operative rule</w:t>
            </w:r>
          </w:p>
        </w:tc>
        <w:tc>
          <w:tcPr>
            <w:tcW w:type="dxa" w:w="792"/>
            <w:vAlign w:val="center"/>
            <w:tcMar>
              <w:top w:w="80" w:type="dxa"/>
              <w:start w:w="90" w:type="dxa"/>
              <w:bottom w:w="80" w:type="dxa"/>
              <w:end w:w="90" w:type="dxa"/>
            </w:tcMar>
            <w:shd w:fill="F5F7F8"/>
          </w:tcPr>
          <w:p>
            <w:pPr>
              <w:spacing w:after="0"/>
            </w:pPr>
            <w:r>
              <w:rPr>
                <w:b/>
                <w:color w:val="A06716"/>
                <w:sz w:val="15"/>
              </w:rPr>
              <w:t>P</w:t>
            </w:r>
          </w:p>
        </w:tc>
        <w:tc>
          <w:tcPr>
            <w:tcW w:type="dxa" w:w="3917"/>
            <w:vAlign w:val="center"/>
            <w:tcMar>
              <w:top w:w="80" w:type="dxa"/>
              <w:start w:w="90" w:type="dxa"/>
              <w:bottom w:w="80" w:type="dxa"/>
              <w:end w:w="90" w:type="dxa"/>
            </w:tcMar>
            <w:shd w:fill="F5F7F8"/>
          </w:tcPr>
          <w:p>
            <w:pPr>
              <w:spacing w:after="0"/>
            </w:pPr>
            <w:r>
              <w:rPr>
                <w:sz w:val="15"/>
              </w:rPr>
              <w:t>Minutes describe safety, optional teacher use, handbook consequences, and teacher resources, but do not reproduce the full rule.</w:t>
            </w:r>
          </w:p>
        </w:tc>
        <w:tc>
          <w:tcPr>
            <w:tcW w:type="dxa" w:w="3816"/>
            <w:vAlign w:val="center"/>
            <w:tcMar>
              <w:top w:w="80" w:type="dxa"/>
              <w:start w:w="90" w:type="dxa"/>
              <w:bottom w:w="80" w:type="dxa"/>
              <w:end w:w="90" w:type="dxa"/>
            </w:tcMar>
            <w:shd w:fill="F5F7F8"/>
          </w:tcPr>
          <w:p>
            <w:pPr>
              <w:spacing w:after="0"/>
            </w:pPr>
            <w:r>
              <w:rPr>
                <w:sz w:val="15"/>
              </w:rPr>
              <w:t>Capture approved tools, age rules, consent, privacy, disclosure, alternatives, and annual review.</w:t>
            </w:r>
          </w:p>
        </w:tc>
      </w:tr>
      <w:tr>
        <w:trPr>
          <w:cantSplit/>
        </w:trPr>
        <w:tc>
          <w:tcPr>
            <w:tcW w:type="dxa" w:w="1699"/>
            <w:vAlign w:val="center"/>
            <w:tcMar>
              <w:top w:w="80" w:type="dxa"/>
              <w:start w:w="90" w:type="dxa"/>
              <w:bottom w:w="80" w:type="dxa"/>
              <w:end w:w="90" w:type="dxa"/>
            </w:tcMar>
          </w:tcPr>
          <w:p>
            <w:pPr>
              <w:spacing w:after="0"/>
            </w:pPr>
            <w:r>
              <w:rPr>
                <w:b/>
                <w:sz w:val="15"/>
              </w:rPr>
              <w:t>Student participation</w:t>
            </w:r>
          </w:p>
        </w:tc>
        <w:tc>
          <w:tcPr>
            <w:tcW w:type="dxa" w:w="792"/>
            <w:vAlign w:val="center"/>
            <w:tcMar>
              <w:top w:w="80" w:type="dxa"/>
              <w:start w:w="90" w:type="dxa"/>
              <w:bottom w:w="80" w:type="dxa"/>
              <w:end w:w="90" w:type="dxa"/>
            </w:tcMar>
          </w:tcPr>
          <w:p>
            <w:pPr>
              <w:spacing w:after="0"/>
            </w:pPr>
            <w:r>
              <w:rPr>
                <w:b/>
                <w:color w:val="196743"/>
                <w:sz w:val="15"/>
              </w:rPr>
              <w:t>V</w:t>
            </w:r>
          </w:p>
        </w:tc>
        <w:tc>
          <w:tcPr>
            <w:tcW w:type="dxa" w:w="3917"/>
            <w:vAlign w:val="center"/>
            <w:tcMar>
              <w:top w:w="80" w:type="dxa"/>
              <w:start w:w="90" w:type="dxa"/>
              <w:bottom w:w="80" w:type="dxa"/>
              <w:end w:w="90" w:type="dxa"/>
            </w:tcMar>
          </w:tcPr>
          <w:p>
            <w:pPr>
              <w:spacing w:after="0"/>
            </w:pPr>
            <w:r>
              <w:rPr>
                <w:sz w:val="15"/>
              </w:rPr>
              <w:t>A December 2023 student presentation recommended higher-grade use, protection of grammar foundations, and AI as guide rather than answer.</w:t>
            </w:r>
          </w:p>
        </w:tc>
        <w:tc>
          <w:tcPr>
            <w:tcW w:type="dxa" w:w="3816"/>
            <w:vAlign w:val="center"/>
            <w:tcMar>
              <w:top w:w="80" w:type="dxa"/>
              <w:start w:w="90" w:type="dxa"/>
              <w:bottom w:w="80" w:type="dxa"/>
              <w:end w:w="90" w:type="dxa"/>
            </w:tcMar>
          </w:tcPr>
          <w:p>
            <w:pPr>
              <w:spacing w:after="0"/>
            </w:pPr>
            <w:r>
              <w:rPr>
                <w:sz w:val="15"/>
              </w:rPr>
              <w:t>Treat the presentation as deliberation, not final policy text.</w:t>
            </w:r>
          </w:p>
        </w:tc>
      </w:tr>
      <w:tr>
        <w:trPr>
          <w:cantSplit/>
        </w:trPr>
        <w:tc>
          <w:tcPr>
            <w:tcW w:type="dxa" w:w="1699"/>
            <w:vAlign w:val="center"/>
            <w:tcMar>
              <w:top w:w="80" w:type="dxa"/>
              <w:start w:w="90" w:type="dxa"/>
              <w:bottom w:w="80" w:type="dxa"/>
              <w:end w:w="90" w:type="dxa"/>
            </w:tcMar>
            <w:shd w:fill="F5F7F8"/>
          </w:tcPr>
          <w:p>
            <w:pPr>
              <w:spacing w:after="0"/>
            </w:pPr>
            <w:r>
              <w:rPr>
                <w:b/>
                <w:sz w:val="15"/>
              </w:rPr>
              <w:t>Representative practice</w:t>
            </w:r>
          </w:p>
        </w:tc>
        <w:tc>
          <w:tcPr>
            <w:tcW w:type="dxa" w:w="792"/>
            <w:vAlign w:val="center"/>
            <w:tcMar>
              <w:top w:w="80" w:type="dxa"/>
              <w:start w:w="90" w:type="dxa"/>
              <w:bottom w:w="80" w:type="dxa"/>
              <w:end w:w="90" w:type="dxa"/>
            </w:tcMar>
            <w:shd w:fill="F5F7F8"/>
          </w:tcPr>
          <w:p>
            <w:pPr>
              <w:spacing w:after="0"/>
            </w:pPr>
            <w:r>
              <w:rPr>
                <w:b/>
                <w:color w:val="5B4D91"/>
                <w:sz w:val="15"/>
              </w:rPr>
              <w:t>R</w:t>
            </w:r>
          </w:p>
        </w:tc>
        <w:tc>
          <w:tcPr>
            <w:tcW w:type="dxa" w:w="3917"/>
            <w:vAlign w:val="center"/>
            <w:tcMar>
              <w:top w:w="80" w:type="dxa"/>
              <w:start w:w="90" w:type="dxa"/>
              <w:bottom w:w="80" w:type="dxa"/>
              <w:end w:w="90" w:type="dxa"/>
            </w:tcMar>
            <w:shd w:fill="F5F7F8"/>
          </w:tcPr>
          <w:p>
            <w:pPr>
              <w:spacing w:after="0"/>
            </w:pPr>
            <w:r>
              <w:rPr>
                <w:sz w:val="15"/>
              </w:rPr>
              <w:t>An exhibition-based middle- or high-school project is selected, but the teacher rule, prompts, drafts, critique, and individual roles are not public.</w:t>
            </w:r>
          </w:p>
        </w:tc>
        <w:tc>
          <w:tcPr>
            <w:tcW w:type="dxa" w:w="3816"/>
            <w:vAlign w:val="center"/>
            <w:tcMar>
              <w:top w:w="80" w:type="dxa"/>
              <w:start w:w="90" w:type="dxa"/>
              <w:bottom w:w="80" w:type="dxa"/>
              <w:end w:w="90" w:type="dxa"/>
            </w:tcMar>
            <w:shd w:fill="F5F7F8"/>
          </w:tcPr>
          <w:p>
            <w:pPr>
              <w:spacing w:after="0"/>
            </w:pPr>
            <w:r>
              <w:rPr>
                <w:sz w:val="15"/>
              </w:rPr>
              <w:t>Archive one full project and an elementary foundational comparison.</w:t>
            </w:r>
          </w:p>
        </w:tc>
      </w:tr>
      <w:tr>
        <w:trPr>
          <w:cantSplit/>
        </w:trPr>
        <w:tc>
          <w:tcPr>
            <w:tcW w:type="dxa" w:w="1699"/>
            <w:vAlign w:val="center"/>
            <w:tcMar>
              <w:top w:w="80" w:type="dxa"/>
              <w:start w:w="90" w:type="dxa"/>
              <w:bottom w:w="80" w:type="dxa"/>
              <w:end w:w="90" w:type="dxa"/>
            </w:tcMar>
          </w:tcPr>
          <w:p>
            <w:pPr>
              <w:spacing w:after="0"/>
            </w:pPr>
            <w:r>
              <w:rPr>
                <w:b/>
                <w:sz w:val="15"/>
              </w:rPr>
              <w:t>Independent performance</w:t>
            </w:r>
          </w:p>
        </w:tc>
        <w:tc>
          <w:tcPr>
            <w:tcW w:type="dxa" w:w="792"/>
            <w:vAlign w:val="center"/>
            <w:tcMar>
              <w:top w:w="80" w:type="dxa"/>
              <w:start w:w="90" w:type="dxa"/>
              <w:bottom w:w="80" w:type="dxa"/>
              <w:end w:w="90" w:type="dxa"/>
            </w:tcMar>
          </w:tcPr>
          <w:p>
            <w:pPr>
              <w:spacing w:after="0"/>
            </w:pPr>
            <w:r>
              <w:rPr>
                <w:b/>
                <w:color w:val="9D2F2F"/>
                <w:sz w:val="15"/>
              </w:rPr>
              <w:t>M</w:t>
            </w:r>
          </w:p>
        </w:tc>
        <w:tc>
          <w:tcPr>
            <w:tcW w:type="dxa" w:w="3917"/>
            <w:vAlign w:val="center"/>
            <w:tcMar>
              <w:top w:w="80" w:type="dxa"/>
              <w:start w:w="90" w:type="dxa"/>
              <w:bottom w:w="80" w:type="dxa"/>
              <w:end w:w="90" w:type="dxa"/>
            </w:tcMar>
          </w:tcPr>
          <w:p>
            <w:pPr>
              <w:spacing w:after="0"/>
            </w:pPr>
            <w:r>
              <w:rPr>
                <w:sz w:val="15"/>
              </w:rPr>
              <w:t>Public exhibition supports authenticity, but no required individual oral defense or supervised construction check was verified.</w:t>
            </w:r>
          </w:p>
        </w:tc>
        <w:tc>
          <w:tcPr>
            <w:tcW w:type="dxa" w:w="3816"/>
            <w:vAlign w:val="center"/>
            <w:tcMar>
              <w:top w:w="80" w:type="dxa"/>
              <w:start w:w="90" w:type="dxa"/>
              <w:bottom w:w="80" w:type="dxa"/>
              <w:end w:w="90" w:type="dxa"/>
            </w:tcMar>
          </w:tcPr>
          <w:p>
            <w:pPr>
              <w:spacing w:after="0"/>
            </w:pPr>
            <w:r>
              <w:rPr>
                <w:sz w:val="15"/>
              </w:rPr>
              <w:t>Separate individual mastery and authorship from group product quality.</w:t>
            </w:r>
          </w:p>
        </w:tc>
      </w:tr>
      <w:tr>
        <w:trPr>
          <w:cantSplit/>
        </w:trPr>
        <w:tc>
          <w:tcPr>
            <w:tcW w:type="dxa" w:w="1699"/>
            <w:vAlign w:val="center"/>
            <w:tcMar>
              <w:top w:w="80" w:type="dxa"/>
              <w:start w:w="90" w:type="dxa"/>
              <w:bottom w:w="80" w:type="dxa"/>
              <w:end w:w="90" w:type="dxa"/>
            </w:tcMar>
            <w:shd w:fill="F5F7F8"/>
          </w:tcPr>
          <w:p>
            <w:pPr>
              <w:spacing w:after="0"/>
            </w:pPr>
            <w:r>
              <w:rPr>
                <w:b/>
                <w:sz w:val="15"/>
              </w:rPr>
              <w:t>Outcomes and wellness</w:t>
            </w:r>
          </w:p>
        </w:tc>
        <w:tc>
          <w:tcPr>
            <w:tcW w:type="dxa" w:w="792"/>
            <w:vAlign w:val="center"/>
            <w:tcMar>
              <w:top w:w="80" w:type="dxa"/>
              <w:start w:w="90" w:type="dxa"/>
              <w:bottom w:w="80" w:type="dxa"/>
              <w:end w:w="90" w:type="dxa"/>
            </w:tcMar>
            <w:shd w:fill="F5F7F8"/>
          </w:tcPr>
          <w:p>
            <w:pPr>
              <w:spacing w:after="0"/>
            </w:pPr>
            <w:r>
              <w:rPr>
                <w:b/>
                <w:color w:val="9D2F2F"/>
                <w:sz w:val="15"/>
              </w:rPr>
              <w:t>M</w:t>
            </w:r>
          </w:p>
        </w:tc>
        <w:tc>
          <w:tcPr>
            <w:tcW w:type="dxa" w:w="3917"/>
            <w:vAlign w:val="center"/>
            <w:tcMar>
              <w:top w:w="80" w:type="dxa"/>
              <w:start w:w="90" w:type="dxa"/>
              <w:bottom w:w="80" w:type="dxa"/>
              <w:end w:w="90" w:type="dxa"/>
            </w:tcMar>
            <w:shd w:fill="F5F7F8"/>
          </w:tcPr>
          <w:p>
            <w:pPr>
              <w:spacing w:after="0"/>
            </w:pPr>
            <w:r>
              <w:rPr>
                <w:sz w:val="15"/>
              </w:rPr>
              <w:t>No public evidence connects the policy to mastery, equity, attendance, belonging, family burden, friendship, attention, or adult support.</w:t>
            </w:r>
          </w:p>
        </w:tc>
        <w:tc>
          <w:tcPr>
            <w:tcW w:type="dxa" w:w="3816"/>
            <w:vAlign w:val="center"/>
            <w:tcMar>
              <w:top w:w="80" w:type="dxa"/>
              <w:start w:w="90" w:type="dxa"/>
              <w:bottom w:w="80" w:type="dxa"/>
              <w:end w:w="90" w:type="dxa"/>
            </w:tcMar>
            <w:shd w:fill="F5F7F8"/>
          </w:tcPr>
          <w:p>
            <w:pPr>
              <w:spacing w:after="0"/>
            </w:pPr>
            <w:r>
              <w:rPr>
                <w:sz w:val="15"/>
              </w:rPr>
              <w:t>Compare schools and grades while accounting for post-COVID recovery conditions.</w:t>
            </w:r>
          </w:p>
        </w:tc>
      </w:tr>
    </w:tbl>
    <w:p>
      <w:pPr>
        <w:spacing w:after="60"/>
      </w:pPr>
      <w:r>
        <w:rPr>
          <w:b/>
        </w:rPr>
        <w:t xml:space="preserve">Scorecard consequence  </w:t>
      </w:r>
      <w:r>
        <w:t>Credit governance and student voice; hold substantive policy and outcome scores until the full rule and implementation evidence are captured.</w:t>
      </w:r>
    </w:p>
    <w:p>
      <w:pPr>
        <w:spacing w:before="100" w:after="40"/>
      </w:pPr>
      <w:r>
        <w:rPr>
          <w:b/>
        </w:rPr>
        <w:t xml:space="preserve">Official sources  </w:t>
      </w:r>
      <w:hyperlink r:id="rId39">
        <w:r>
          <w:rPr>
            <w:color w:val="346887"/>
            <w:u w:val="single"/>
          </w:rPr>
          <w:t>May 2025 minutes</w:t>
        </w:r>
      </w:hyperlink>
      <w:r>
        <w:t xml:space="preserve">  |  </w:t>
      </w:r>
      <w:hyperlink r:id="rId40">
        <w:r>
          <w:rPr>
            <w:color w:val="346887"/>
            <w:u w:val="single"/>
          </w:rPr>
          <w:t>December 2023 minutes</w:t>
        </w:r>
      </w:hyperlink>
      <w:r>
        <w:t xml:space="preserve">  |  </w:t>
      </w:r>
      <w:hyperlink r:id="rId41">
        <w:r>
          <w:rPr>
            <w:color w:val="346887"/>
            <w:u w:val="single"/>
          </w:rPr>
          <w:t>Design principles</w:t>
        </w:r>
      </w:hyperlink>
      <w:r>
        <w:t xml:space="preserve">  |  </w:t>
      </w:r>
      <w:hyperlink r:id="rId42">
        <w:r>
          <w:rPr>
            <w:color w:val="346887"/>
            <w:u w:val="single"/>
          </w:rPr>
          <w:t>Handbook</w:t>
        </w:r>
      </w:hyperlink>
    </w:p>
    <w:p>
      <w:r>
        <w:br w:type="page"/>
      </w:r>
    </w:p>
    <w:p>
      <w:pPr>
        <w:pStyle w:val="Heading1"/>
      </w:pPr>
      <w:r>
        <w:t>Cross-institution findings</w:t>
      </w:r>
    </w:p>
    <w:p>
      <w:pPr>
        <w:spacing w:after="60"/>
      </w:pPr>
      <w:r>
        <w:rPr>
          <w:b/>
        </w:rPr>
        <w:t xml:space="preserve">Governance is ahead of proof  </w:t>
      </w:r>
      <w:r>
        <w:t>Berkeley, UCLA, Stanford, USC, Caltech, and LMU publish substantial guidance, yet none publicly establishes PH-4 durable unaided transfer.</w:t>
      </w:r>
    </w:p>
    <w:p>
      <w:pPr>
        <w:spacing w:after="60"/>
      </w:pPr>
      <w:r>
        <w:rPr>
          <w:b/>
        </w:rPr>
        <w:t xml:space="preserve">Restrictions can protect formation  </w:t>
      </w:r>
      <w:r>
        <w:t>Thomas Aquinas College and Berkeley Law make a defensible case that prohibition can preserve the very acts by which liberal or professional judgment develops.</w:t>
      </w:r>
    </w:p>
    <w:p>
      <w:pPr>
        <w:spacing w:after="60"/>
      </w:pPr>
      <w:r>
        <w:rPr>
          <w:b/>
        </w:rPr>
        <w:t xml:space="preserve">Participation needs individual verification  </w:t>
      </w:r>
      <w:r>
        <w:t>Stanford and High Tech High demonstrate the value of student voice and authentic collaborative work, but group quality cannot substitute for personal mastery.</w:t>
      </w:r>
    </w:p>
    <w:p>
      <w:pPr>
        <w:spacing w:after="60"/>
      </w:pPr>
      <w:r>
        <w:rPr>
          <w:b/>
        </w:rPr>
        <w:t xml:space="preserve">K through 12 requires developmental governance  </w:t>
      </w:r>
      <w:r>
        <w:t>Mother of Divine Grace, Harvard-Westlake, and High Tech High require age-specific rules, parent authority or notice, consent, privacy, foundational knowledge, and gradual transfer of responsibility.</w:t>
      </w:r>
    </w:p>
    <w:p>
      <w:pPr>
        <w:spacing w:after="60"/>
      </w:pPr>
      <w:r>
        <w:rPr>
          <w:b/>
        </w:rPr>
        <w:t xml:space="preserve">Wellness remains weakly evidenced  </w:t>
      </w:r>
      <w:r>
        <w:t>Attention, frustration tolerance, trust, belonging, friendship, family stability, workload, and human help-seeking matter, but public policy pages do not measure them.</w:t>
      </w:r>
    </w:p>
    <w:p>
      <w:pPr>
        <w:spacing w:after="60"/>
      </w:pPr>
      <w:r>
        <w:rPr>
          <w:b/>
        </w:rPr>
        <w:t xml:space="preserve">COVID is context, not a universal explanation  </w:t>
      </w:r>
      <w:r>
        <w:t>Comparisons must distinguish students who entered disruption with stable habits, supportive families, and friendships from those already experiencing dysregulation, isolation, or weak support.</w:t>
      </w:r>
    </w:p>
    <w:p>
      <w:pPr>
        <w:pStyle w:val="Heading1"/>
      </w:pPr>
      <w:r>
        <w:t>Scorecard rules after Phase Nine</w:t>
      </w:r>
    </w:p>
    <w:p>
      <w:pPr>
        <w:pStyle w:val="ListBullet"/>
      </w:pPr>
      <w:r>
        <w:t>Score policy, practice, protected performance, and outcomes separately; never average missing evidence into apparent certainty.</w:t>
      </w:r>
    </w:p>
    <w:p>
      <w:pPr>
        <w:pStyle w:val="ListBullet"/>
      </w:pPr>
      <w:r>
        <w:t>Award no outcome credit for tool access, licenses, training completion, policy publication, or student satisfaction alone.</w:t>
      </w:r>
    </w:p>
    <w:p>
      <w:pPr>
        <w:pStyle w:val="ListBullet"/>
      </w:pPr>
      <w:r>
        <w:t>Require at least PH-2 before describing an institution as protecting independent thought, and PH-3 before describing protection as implemented across a representative case.</w:t>
      </w:r>
    </w:p>
    <w:p>
      <w:pPr>
        <w:pStyle w:val="ListBullet"/>
      </w:pPr>
      <w:r>
        <w:t>Reserve PH-4 for durable unaided transfer measured after assistance ends with a comparison, time window, and limitations.</w:t>
      </w:r>
    </w:p>
    <w:p>
      <w:pPr>
        <w:pStyle w:val="ListBullet"/>
      </w:pPr>
      <w:r>
        <w:t>For K-through-12 institutions, treat age, consent, privacy, parental authority, and non-AI alternatives as threshold requirements rather than optional bonuses.</w:t>
      </w:r>
    </w:p>
    <w:p>
      <w:pPr>
        <w:pStyle w:val="ListBullet"/>
      </w:pPr>
      <w:r>
        <w:t>Record missing public evidence neutrally; do not turn absence into either praise or accusation.</w:t>
      </w:r>
    </w:p>
    <w:p>
      <w:pPr>
        <w:pStyle w:val="Heading1"/>
      </w:pPr>
      <w:r>
        <w:t>Phase Ten handoff</w:t>
      </w:r>
    </w:p>
    <w:p>
      <w:r>
        <w:t>Phase Ten should build the protected human-performance protocol: a common set of age-appropriate, discipline-appropriate unaided checks that can be applied to the selected case activities. It should specify writing, oral explanation, source verification, mathematical or scientific reasoning, coding, creative production, memory, attention, authorship, and moral judgment measures; establish when AI is removed; define comparison groups and time windows; and include family, friendship, disability, prior preparation, COVID exposure, and wellness controls. This will convert the evidence ledger from a classification system into a testable evaluation method.</w:t>
      </w:r>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73D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i.berkeley.edu/" TargetMode="External"/><Relationship Id="rId10" Type="http://schemas.openxmlformats.org/officeDocument/2006/relationships/hyperlink" Target="https://teaching.berkeley.edu/teaching-guides-resources/ai-teaching-learning" TargetMode="External"/><Relationship Id="rId11" Type="http://schemas.openxmlformats.org/officeDocument/2006/relationships/hyperlink" Target="https://www.law.berkeley.edu/article/artificial-intelligence-policy-questions-and-answers/" TargetMode="External"/><Relationship Id="rId12" Type="http://schemas.openxmlformats.org/officeDocument/2006/relationships/hyperlink" Target="https://teaching.ucla.edu/special-initiatives/generative-ai-in-teaching-learning/" TargetMode="External"/><Relationship Id="rId13" Type="http://schemas.openxmlformats.org/officeDocument/2006/relationships/hyperlink" Target="https://dts.ucla.edu/initiatives/ai/guiding-principles-responsible-use" TargetMode="External"/><Relationship Id="rId14" Type="http://schemas.openxmlformats.org/officeDocument/2006/relationships/hyperlink" Target="https://teaching.ucla.edu/resources/ai-course-policy/" TargetMode="External"/><Relationship Id="rId15" Type="http://schemas.openxmlformats.org/officeDocument/2006/relationships/hyperlink" Target="https://news.stanford.edu/stories/2026/05/ai-policy-proposal-students-critical-thinking" TargetMode="External"/><Relationship Id="rId16" Type="http://schemas.openxmlformats.org/officeDocument/2006/relationships/hyperlink" Target="https://ctl.stanford.edu/aimes/ai-learning-guide-students" TargetMode="External"/><Relationship Id="rId17" Type="http://schemas.openxmlformats.org/officeDocument/2006/relationships/hyperlink" Target="https://teachingcommons.stanford.edu/teaching-guides/artificial-intelligence-teaching-guide/creating-your-course-policy-ai" TargetMode="External"/><Relationship Id="rId18" Type="http://schemas.openxmlformats.org/officeDocument/2006/relationships/hyperlink" Target="https://www.provost.usc.edu/faculty-guidance-chatgpt-edu-spring-2026/" TargetMode="External"/><Relationship Id="rId19" Type="http://schemas.openxmlformats.org/officeDocument/2006/relationships/hyperlink" Target="https://itservices.usc.edu/ai/chatgpt-edu-at-usc/" TargetMode="External"/><Relationship Id="rId20" Type="http://schemas.openxmlformats.org/officeDocument/2006/relationships/hyperlink" Target="https://academicintegrity.usc.edu/generative-ai-and-chatgpt-edu/" TargetMode="External"/><Relationship Id="rId21" Type="http://schemas.openxmlformats.org/officeDocument/2006/relationships/hyperlink" Target="https://www.imss.caltech.edu/services/ai" TargetMode="External"/><Relationship Id="rId22" Type="http://schemas.openxmlformats.org/officeDocument/2006/relationships/hyperlink" Target="https://aiinteaching.caltech.edu/" TargetMode="External"/><Relationship Id="rId23" Type="http://schemas.openxmlformats.org/officeDocument/2006/relationships/hyperlink" Target="https://www.hss.caltech.edu/hss-policies/hss-policy-on-generative-ai" TargetMode="External"/><Relationship Id="rId24" Type="http://schemas.openxmlformats.org/officeDocument/2006/relationships/hyperlink" Target="https://techpolicy.caltech.edu/2024/01/24/teaching-ethics-ai-in-the-wake-of-chatgpt/" TargetMode="External"/><Relationship Id="rId25" Type="http://schemas.openxmlformats.org/officeDocument/2006/relationships/hyperlink" Target="https://academics.lmu.edu/cfd/resources/teachinghub/aiinteachinglearning/" TargetMode="External"/><Relationship Id="rId26" Type="http://schemas.openxmlformats.org/officeDocument/2006/relationships/hyperlink" Target="https://its.lmu.edu/ai/aitoolsservices/" TargetMode="External"/><Relationship Id="rId27" Type="http://schemas.openxmlformats.org/officeDocument/2006/relationships/hyperlink" Target="https://academics.lmu.edu/officeofacademicaffairs/academichonesty/ai/" TargetMode="External"/><Relationship Id="rId28" Type="http://schemas.openxmlformats.org/officeDocument/2006/relationships/hyperlink" Target="https://www.thomasaquinas.edu/students/california-code-conduct" TargetMode="External"/><Relationship Id="rId29" Type="http://schemas.openxmlformats.org/officeDocument/2006/relationships/hyperlink" Target="https://www.thomasaquinas.edu/a-liberating-education/syllabus" TargetMode="External"/><Relationship Id="rId30" Type="http://schemas.openxmlformats.org/officeDocument/2006/relationships/hyperlink" Target="https://www.thomasaquinas.edu/ai" TargetMode="External"/><Relationship Id="rId31" Type="http://schemas.openxmlformats.org/officeDocument/2006/relationships/hyperlink" Target="https://www.thomasaquinas.edu/news/how-classical-college-made-quick-leap-online-learning" TargetMode="External"/><Relationship Id="rId32" Type="http://schemas.openxmlformats.org/officeDocument/2006/relationships/hyperlink" Target="https://modg.org/" TargetMode="External"/><Relationship Id="rId33" Type="http://schemas.openxmlformats.org/officeDocument/2006/relationships/hyperlink" Target="https://modg.org/curriculum/methodology" TargetMode="External"/><Relationship Id="rId34" Type="http://schemas.openxmlformats.org/officeDocument/2006/relationships/hyperlink" Target="https://modg.org/curriculum/methodologycontent" TargetMode="External"/><Relationship Id="rId35" Type="http://schemas.openxmlformats.org/officeDocument/2006/relationships/hyperlink" Target="https://modg.org/articles/2020-05-04-crisis-schooling-isnt-homeschooling" TargetMode="External"/><Relationship Id="rId36" Type="http://schemas.openxmlformats.org/officeDocument/2006/relationships/hyperlink" Target="https://www.hw.com/academics/About-the-Curriculum/Course-Descriptions" TargetMode="External"/><Relationship Id="rId37" Type="http://schemas.openxmlformats.org/officeDocument/2006/relationships/hyperlink" Target="https://academics.hw.com/kutlercenter" TargetMode="External"/><Relationship Id="rId38" Type="http://schemas.openxmlformats.org/officeDocument/2006/relationships/hyperlink" Target="https://www.hw.com/life-at-hw/Health-and-Wellness" TargetMode="External"/><Relationship Id="rId39" Type="http://schemas.openxmlformats.org/officeDocument/2006/relationships/hyperlink" Target="https://www.hightechhigh.org/wp-content/uploads/2025/07/Item-1.1-Approve-the-May-28-2025-Regular-Meeting-Minutes-1.pdf" TargetMode="External"/><Relationship Id="rId40" Type="http://schemas.openxmlformats.org/officeDocument/2006/relationships/hyperlink" Target="https://www.hightechhigh.org/wp-content/uploads/2024/02/Item-1.1-Approve-the-December-11-2023-Annual-Meeting-Minutes-2.pdf" TargetMode="External"/><Relationship Id="rId41" Type="http://schemas.openxmlformats.org/officeDocument/2006/relationships/hyperlink" Target="https://www.hightechhigh.org/about/" TargetMode="External"/><Relationship Id="rId42" Type="http://schemas.openxmlformats.org/officeDocument/2006/relationships/hyperlink" Target="https://www.hightechhigh.org/student-parent-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Evidence Ledger — Phase Nine</dc:title>
  <dc:subject>Claim status, protected human performance, and scorecard consequences for ten California institutions</dc:subject>
  <dc:creator/>
  <cp:keywords>California education, artificial intelligence, evidence ledger, well formed mind, K-12, higher education</cp:keywords>
  <dc:description>generated by python-docx</dc:description>
  <cp:lastModifiedBy/>
  <cp:revision>1</cp:revision>
  <dcterms:created xsi:type="dcterms:W3CDTF">2013-12-23T23:15:00Z</dcterms:created>
  <dcterms:modified xsi:type="dcterms:W3CDTF">2013-12-23T23:15:00Z</dcterms:modified>
  <cp:category/>
</cp:coreProperties>
</file>