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Education and AI Institution Case Files</w:t>
      </w:r>
    </w:p>
    <w:p>
      <w:r>
        <w:rPr>
          <w:b/>
          <w:color w:val="2B5370"/>
          <w:sz w:val="22"/>
        </w:rPr>
        <w:t>Phase Eight  |  Initial public evidence cases for ten California institutions</w:t>
      </w:r>
    </w:p>
    <w:p>
      <w:pPr>
        <w:spacing w:after="180"/>
      </w:pPr>
      <w:r>
        <w:t>Evidence date: September 12, 2026  •  Informational working document  •  No outreach or personal attribution</w:t>
      </w:r>
    </w:p>
    <w:tbl>
      <w:tblPr>
        <w:tblW w:type="auto" w:w="0"/>
        <w:tblLayout w:type="fixed"/>
        <w:tblLook w:firstColumn="1" w:firstRow="1" w:lastColumn="0" w:lastRow="0" w:noHBand="0" w:noVBand="1" w:val="04A0"/>
        <w:tblBorders>
          <w:top w:val="single" w:sz="5" w:color="D3D9DD"/>
          <w:left w:val="single" w:sz="5" w:color="D3D9DD"/>
          <w:bottom w:val="single" w:sz="5" w:color="D3D9DD"/>
          <w:right w:val="single" w:sz="5" w:color="D3D9DD"/>
          <w:insideH w:val="single" w:sz="5" w:color="D3D9DD"/>
          <w:insideV w:val="single" w:sz="5" w:color="D3D9DD"/>
        </w:tblBorders>
      </w:tblPr>
      <w:tblGrid>
        <w:gridCol w:w="5141"/>
        <w:gridCol w:w="5141"/>
      </w:tblGrid>
      <w:tr>
        <w:trPr>
          <w:cantSplit/>
        </w:trPr>
        <w:tc>
          <w:tcPr>
            <w:tcW w:type="dxa" w:w="2880"/>
            <w:shd w:fill="EDF3F6"/>
            <w:tcMar>
              <w:top w:w="65" w:type="dxa"/>
              <w:start w:w="80" w:type="dxa"/>
              <w:bottom w:w="65" w:type="dxa"/>
              <w:end w:w="80" w:type="dxa"/>
            </w:tcMar>
            <w:vAlign w:val="center"/>
          </w:tcPr>
          <w:p>
            <w:r>
              <w:rPr>
                <w:b/>
              </w:rPr>
              <w:t>Responsible person</w:t>
            </w:r>
          </w:p>
        </w:tc>
        <w:tc>
          <w:tcPr>
            <w:tcW w:type="dxa" w:w="7272"/>
            <w:tcMar>
              <w:top w:w="65" w:type="dxa"/>
              <w:start w:w="80" w:type="dxa"/>
              <w:bottom w:w="65" w:type="dxa"/>
              <w:end w:w="80" w:type="dxa"/>
            </w:tcMar>
            <w:vAlign w:val="center"/>
          </w:tcPr>
          <w:p>
            <w:r>
              <w:t>________________________________________</w:t>
            </w:r>
          </w:p>
        </w:tc>
      </w:tr>
      <w:tr>
        <w:trPr>
          <w:cantSplit/>
        </w:trPr>
        <w:tc>
          <w:tcPr>
            <w:tcW w:type="dxa" w:w="2880"/>
            <w:shd w:fill="EDF3F6"/>
            <w:tcMar>
              <w:top w:w="65" w:type="dxa"/>
              <w:start w:w="80" w:type="dxa"/>
              <w:bottom w:w="65" w:type="dxa"/>
              <w:end w:w="80" w:type="dxa"/>
            </w:tcMar>
            <w:vAlign w:val="center"/>
          </w:tcPr>
          <w:p>
            <w:r>
              <w:rPr>
                <w:b/>
              </w:rPr>
              <w:t>Organization or role</w:t>
            </w:r>
          </w:p>
        </w:tc>
        <w:tc>
          <w:tcPr>
            <w:tcW w:type="dxa" w:w="7272"/>
            <w:tcMar>
              <w:top w:w="65" w:type="dxa"/>
              <w:start w:w="80" w:type="dxa"/>
              <w:bottom w:w="65" w:type="dxa"/>
              <w:end w:w="80" w:type="dxa"/>
            </w:tcMar>
            <w:vAlign w:val="center"/>
          </w:tcPr>
          <w:p>
            <w:r>
              <w:t>________________________________________</w:t>
            </w:r>
          </w:p>
        </w:tc>
      </w:tr>
      <w:tr>
        <w:trPr>
          <w:cantSplit/>
        </w:trPr>
        <w:tc>
          <w:tcPr>
            <w:tcW w:type="dxa" w:w="2880"/>
            <w:shd w:fill="EDF3F6"/>
            <w:tcMar>
              <w:top w:w="65" w:type="dxa"/>
              <w:start w:w="80" w:type="dxa"/>
              <w:bottom w:w="65" w:type="dxa"/>
              <w:end w:w="80" w:type="dxa"/>
            </w:tcMar>
            <w:vAlign w:val="center"/>
          </w:tcPr>
          <w:p>
            <w:r>
              <w:rPr>
                <w:b/>
              </w:rPr>
              <w:t>Review date</w:t>
            </w:r>
          </w:p>
        </w:tc>
        <w:tc>
          <w:tcPr>
            <w:tcW w:type="dxa" w:w="7272"/>
            <w:tcMar>
              <w:top w:w="65" w:type="dxa"/>
              <w:start w:w="80" w:type="dxa"/>
              <w:bottom w:w="65" w:type="dxa"/>
              <w:end w:w="80" w:type="dxa"/>
            </w:tcMar>
            <w:vAlign w:val="center"/>
          </w:tcPr>
          <w:p>
            <w:r>
              <w:t>________________________________________</w:t>
            </w:r>
          </w:p>
        </w:tc>
      </w:tr>
    </w:tbl>
    <w:p>
      <w:pPr>
        <w:pStyle w:val="Heading1"/>
      </w:pPr>
      <w:r>
        <w:t>Phase Eight conclusion</w:t>
      </w:r>
    </w:p>
    <w:p>
      <w:r>
        <w:t>The ten case files confirm that policy sophistication and educational formation remain separate strengths. Thomas Aquinas College now has the clearest verified formation-based restriction. High Tech High has a formally approved K through 12 policy, but the full text remains a priority capture. Berkeley, UCLA, Stanford, USC, Caltech, and Loyola Marymount publish substantial guidance and programs, yet their strongest public evidence still concerns governance and practice rather than durable unaided learning. Mother of Divine Grace and Harvard-Westlake retain important formation cases but need fuller public AI operating rules.</w:t>
      </w:r>
    </w:p>
    <w:p>
      <w:r>
        <w:t>No institution currently supplies a complete public chain from educational purpose to AI rule, implemented assignment, protected independent performance, and measured long-term outcome. Phase Eight therefore records a preliminary judgment for each institution and specifies the evidence that would confirm or revise it.</w:t>
      </w:r>
    </w:p>
    <w:p>
      <w:pPr>
        <w:pStyle w:val="Heading1"/>
      </w:pPr>
      <w:r>
        <w:t>How to read the case files</w:t>
      </w:r>
    </w:p>
    <w:p>
      <w:pPr>
        <w:pStyle w:val="ListBullet"/>
        <w:ind w:left="389" w:hanging="216"/>
      </w:pPr>
      <w:r>
        <w:t>Verified policy or program evidence is separated from interpretation and from evidence still needed.</w:t>
      </w:r>
    </w:p>
    <w:p>
      <w:pPr>
        <w:pStyle w:val="ListBullet"/>
        <w:ind w:left="389" w:hanging="216"/>
      </w:pPr>
      <w:r>
        <w:t>H0 means protected human performance, H1 means teacher-facing AI only, S1 means bounded student use, and S2 means open student use under general rules.</w:t>
      </w:r>
    </w:p>
    <w:p>
      <w:pPr>
        <w:pStyle w:val="ListBullet"/>
        <w:ind w:left="389" w:hanging="216"/>
      </w:pPr>
      <w:r>
        <w:t>A missing public document is an evidence gap. It is not evidence that an institution has no internal rule.</w:t>
      </w:r>
    </w:p>
    <w:p>
      <w:pPr>
        <w:pStyle w:val="ListBullet"/>
        <w:ind w:left="389" w:hanging="216"/>
      </w:pPr>
      <w:r>
        <w:t>COVID and wellness are context variables. They should be measured through comparable records and not used as automatic explanations for later learning or distress.</w:t>
      </w:r>
    </w:p>
    <w:p>
      <w:pPr>
        <w:pStyle w:val="Heading1"/>
      </w:pPr>
      <w:r>
        <w:t>Initial comparison</w:t>
      </w:r>
    </w:p>
    <w:tbl>
      <w:tblPr>
        <w:tblW w:type="auto" w:w="0"/>
        <w:jc w:val="center"/>
        <w:tblLayout w:type="fixed"/>
        <w:tblLook w:firstColumn="1" w:firstRow="1" w:lastColumn="0" w:lastRow="0" w:noHBand="0" w:noVBand="1" w:val="04A0"/>
        <w:tblBorders>
          <w:top w:val="single" w:sz="5" w:color="D3D9DD"/>
          <w:left w:val="single" w:sz="5" w:color="D3D9DD"/>
          <w:bottom w:val="single" w:sz="5" w:color="D3D9DD"/>
          <w:right w:val="single" w:sz="5" w:color="D3D9DD"/>
          <w:insideH w:val="single" w:sz="5" w:color="D3D9DD"/>
          <w:insideV w:val="single" w:sz="5" w:color="D3D9DD"/>
        </w:tblBorders>
      </w:tblPr>
      <w:tblGrid>
        <w:gridCol w:w="2570"/>
        <w:gridCol w:w="2570"/>
        <w:gridCol w:w="2570"/>
        <w:gridCol w:w="2570"/>
      </w:tblGrid>
      <w:tr>
        <w:trPr>
          <w:cantSplit/>
          <w:tblHeader w:val="true"/>
        </w:trPr>
        <w:tc>
          <w:tcPr>
            <w:tcW w:type="dxa" w:w="1944"/>
            <w:shd w:fill="173A52"/>
            <w:tcMar>
              <w:top w:w="70" w:type="dxa"/>
              <w:start w:w="85" w:type="dxa"/>
              <w:bottom w:w="70" w:type="dxa"/>
              <w:end w:w="85" w:type="dxa"/>
            </w:tcMar>
            <w:vAlign w:val="center"/>
          </w:tcPr>
          <w:p>
            <w:pPr>
              <w:jc w:val="left"/>
            </w:pPr>
            <w:r>
              <w:rPr>
                <w:b/>
                <w:color w:val="FFFFFF"/>
                <w:sz w:val="14"/>
              </w:rPr>
              <w:t>Institution</w:t>
            </w:r>
          </w:p>
        </w:tc>
        <w:tc>
          <w:tcPr>
            <w:tcW w:type="dxa" w:w="1800"/>
            <w:shd w:fill="173A52"/>
            <w:tcMar>
              <w:top w:w="70" w:type="dxa"/>
              <w:start w:w="85" w:type="dxa"/>
              <w:bottom w:w="70" w:type="dxa"/>
              <w:end w:w="85" w:type="dxa"/>
            </w:tcMar>
            <w:vAlign w:val="center"/>
          </w:tcPr>
          <w:p>
            <w:pPr>
              <w:jc w:val="left"/>
            </w:pPr>
            <w:r>
              <w:rPr>
                <w:b/>
                <w:color w:val="FFFFFF"/>
                <w:sz w:val="14"/>
              </w:rPr>
              <w:t>Level</w:t>
            </w:r>
          </w:p>
        </w:tc>
        <w:tc>
          <w:tcPr>
            <w:tcW w:type="dxa" w:w="3672"/>
            <w:shd w:fill="173A52"/>
            <w:tcMar>
              <w:top w:w="70" w:type="dxa"/>
              <w:start w:w="85" w:type="dxa"/>
              <w:bottom w:w="70" w:type="dxa"/>
              <w:end w:w="85" w:type="dxa"/>
            </w:tcMar>
            <w:vAlign w:val="center"/>
          </w:tcPr>
          <w:p>
            <w:pPr>
              <w:jc w:val="left"/>
            </w:pPr>
            <w:r>
              <w:rPr>
                <w:b/>
                <w:color w:val="FFFFFF"/>
                <w:sz w:val="14"/>
              </w:rPr>
              <w:t>Initial review unit</w:t>
            </w:r>
          </w:p>
        </w:tc>
        <w:tc>
          <w:tcPr>
            <w:tcW w:type="dxa" w:w="2880"/>
            <w:shd w:fill="173A52"/>
            <w:tcMar>
              <w:top w:w="70" w:type="dxa"/>
              <w:start w:w="85" w:type="dxa"/>
              <w:bottom w:w="70" w:type="dxa"/>
              <w:end w:w="85" w:type="dxa"/>
            </w:tcMar>
            <w:vAlign w:val="center"/>
          </w:tcPr>
          <w:p>
            <w:pPr>
              <w:jc w:val="left"/>
            </w:pPr>
            <w:r>
              <w:rPr>
                <w:b/>
                <w:color w:val="FFFFFF"/>
                <w:sz w:val="14"/>
              </w:rPr>
              <w:t>Preliminary judgment</w:t>
            </w:r>
          </w:p>
        </w:tc>
      </w:tr>
      <w:tr>
        <w:trPr>
          <w:cantSplit/>
        </w:trPr>
        <w:tc>
          <w:tcPr>
            <w:tcW w:type="dxa" w:w="1944"/>
            <w:tcMar>
              <w:top w:w="70" w:type="dxa"/>
              <w:start w:w="85" w:type="dxa"/>
              <w:bottom w:w="70" w:type="dxa"/>
              <w:end w:w="85" w:type="dxa"/>
            </w:tcMar>
            <w:vAlign w:val="center"/>
          </w:tcPr>
          <w:p>
            <w:pPr>
              <w:jc w:val="left"/>
            </w:pPr>
            <w:r>
              <w:rPr>
                <w:b/>
                <w:sz w:val="13"/>
              </w:rPr>
              <w:t>UC Berkeley</w:t>
            </w:r>
          </w:p>
        </w:tc>
        <w:tc>
          <w:tcPr>
            <w:tcW w:type="dxa" w:w="1800"/>
            <w:tcMar>
              <w:top w:w="70" w:type="dxa"/>
              <w:start w:w="85" w:type="dxa"/>
              <w:bottom w:w="70" w:type="dxa"/>
              <w:end w:w="85" w:type="dxa"/>
            </w:tcMar>
            <w:vAlign w:val="center"/>
          </w:tcPr>
          <w:p>
            <w:pPr>
              <w:jc w:val="left"/>
            </w:pPr>
            <w:r>
              <w:rPr>
                <w:sz w:val="13"/>
              </w:rPr>
              <w:t>Public research university</w:t>
            </w:r>
          </w:p>
        </w:tc>
        <w:tc>
          <w:tcPr>
            <w:tcW w:type="dxa" w:w="3672"/>
            <w:tcMar>
              <w:top w:w="70" w:type="dxa"/>
              <w:start w:w="85" w:type="dxa"/>
              <w:bottom w:w="70" w:type="dxa"/>
              <w:end w:w="85" w:type="dxa"/>
            </w:tcMar>
            <w:vAlign w:val="center"/>
          </w:tcPr>
          <w:p>
            <w:pPr>
              <w:jc w:val="left"/>
            </w:pPr>
            <w:r>
              <w:rPr>
                <w:sz w:val="13"/>
              </w:rPr>
              <w:t>Berkeley Law policy and campus teaching guidance</w:t>
            </w:r>
          </w:p>
        </w:tc>
        <w:tc>
          <w:tcPr>
            <w:tcW w:type="dxa" w:w="2880"/>
            <w:tcMar>
              <w:top w:w="70" w:type="dxa"/>
              <w:start w:w="85" w:type="dxa"/>
              <w:bottom w:w="70" w:type="dxa"/>
              <w:end w:w="85" w:type="dxa"/>
            </w:tcMar>
            <w:vAlign w:val="center"/>
          </w:tcPr>
          <w:p>
            <w:pPr>
              <w:jc w:val="left"/>
            </w:pPr>
            <w:r>
              <w:rPr>
                <w:sz w:val="13"/>
              </w:rPr>
              <w:t>Strong governance with a new high-information restrictive case</w:t>
            </w:r>
          </w:p>
        </w:tc>
      </w:tr>
      <w:tr>
        <w:trPr>
          <w:cantSplit/>
        </w:trPr>
        <w:tc>
          <w:tcPr>
            <w:tcW w:type="dxa" w:w="1944"/>
            <w:shd w:fill="F7F9FA"/>
            <w:tcMar>
              <w:top w:w="70" w:type="dxa"/>
              <w:start w:w="85" w:type="dxa"/>
              <w:bottom w:w="70" w:type="dxa"/>
              <w:end w:w="85" w:type="dxa"/>
            </w:tcMar>
            <w:vAlign w:val="center"/>
          </w:tcPr>
          <w:p>
            <w:pPr>
              <w:jc w:val="left"/>
            </w:pPr>
            <w:r>
              <w:rPr>
                <w:b/>
                <w:sz w:val="13"/>
              </w:rPr>
              <w:t>UCLA</w:t>
            </w:r>
          </w:p>
        </w:tc>
        <w:tc>
          <w:tcPr>
            <w:tcW w:type="dxa" w:w="1800"/>
            <w:shd w:fill="F7F9FA"/>
            <w:tcMar>
              <w:top w:w="70" w:type="dxa"/>
              <w:start w:w="85" w:type="dxa"/>
              <w:bottom w:w="70" w:type="dxa"/>
              <w:end w:w="85" w:type="dxa"/>
            </w:tcMar>
            <w:vAlign w:val="center"/>
          </w:tcPr>
          <w:p>
            <w:pPr>
              <w:jc w:val="left"/>
            </w:pPr>
            <w:r>
              <w:rPr>
                <w:sz w:val="13"/>
              </w:rPr>
              <w:t>Public research university</w:t>
            </w:r>
          </w:p>
        </w:tc>
        <w:tc>
          <w:tcPr>
            <w:tcW w:type="dxa" w:w="3672"/>
            <w:shd w:fill="F7F9FA"/>
            <w:tcMar>
              <w:top w:w="70" w:type="dxa"/>
              <w:start w:w="85" w:type="dxa"/>
              <w:bottom w:w="70" w:type="dxa"/>
              <w:end w:w="85" w:type="dxa"/>
            </w:tcMar>
            <w:vAlign w:val="center"/>
          </w:tcPr>
          <w:p>
            <w:pPr>
              <w:jc w:val="left"/>
            </w:pPr>
            <w:r>
              <w:rPr>
                <w:sz w:val="13"/>
              </w:rPr>
              <w:t>Student AI Literacy Module and a Faculty Fellows course</w:t>
            </w:r>
          </w:p>
        </w:tc>
        <w:tc>
          <w:tcPr>
            <w:tcW w:type="dxa" w:w="2880"/>
            <w:shd w:fill="F7F9FA"/>
            <w:tcMar>
              <w:top w:w="70" w:type="dxa"/>
              <w:start w:w="85" w:type="dxa"/>
              <w:bottom w:w="70" w:type="dxa"/>
              <w:end w:w="85" w:type="dxa"/>
            </w:tcMar>
            <w:vAlign w:val="center"/>
          </w:tcPr>
          <w:p>
            <w:pPr>
              <w:jc w:val="left"/>
            </w:pPr>
            <w:r>
              <w:rPr>
                <w:sz w:val="13"/>
              </w:rPr>
              <w:t>Coherent institutional principles with incomplete outcome evidence</w:t>
            </w:r>
          </w:p>
        </w:tc>
      </w:tr>
      <w:tr>
        <w:trPr>
          <w:cantSplit/>
        </w:trPr>
        <w:tc>
          <w:tcPr>
            <w:tcW w:type="dxa" w:w="1944"/>
            <w:tcMar>
              <w:top w:w="70" w:type="dxa"/>
              <w:start w:w="85" w:type="dxa"/>
              <w:bottom w:w="70" w:type="dxa"/>
              <w:end w:w="85" w:type="dxa"/>
            </w:tcMar>
            <w:vAlign w:val="center"/>
          </w:tcPr>
          <w:p>
            <w:pPr>
              <w:jc w:val="left"/>
            </w:pPr>
            <w:r>
              <w:rPr>
                <w:b/>
                <w:sz w:val="13"/>
              </w:rPr>
              <w:t>Stanford University</w:t>
            </w:r>
          </w:p>
        </w:tc>
        <w:tc>
          <w:tcPr>
            <w:tcW w:type="dxa" w:w="1800"/>
            <w:tcMar>
              <w:top w:w="70" w:type="dxa"/>
              <w:start w:w="85" w:type="dxa"/>
              <w:bottom w:w="70" w:type="dxa"/>
              <w:end w:w="85" w:type="dxa"/>
            </w:tcMar>
            <w:vAlign w:val="center"/>
          </w:tcPr>
          <w:p>
            <w:pPr>
              <w:jc w:val="left"/>
            </w:pPr>
            <w:r>
              <w:rPr>
                <w:sz w:val="13"/>
              </w:rPr>
              <w:t>Private research university</w:t>
            </w:r>
          </w:p>
        </w:tc>
        <w:tc>
          <w:tcPr>
            <w:tcW w:type="dxa" w:w="3672"/>
            <w:tcMar>
              <w:top w:w="70" w:type="dxa"/>
              <w:start w:w="85" w:type="dxa"/>
              <w:bottom w:w="70" w:type="dxa"/>
              <w:end w:w="85" w:type="dxa"/>
            </w:tcMar>
            <w:vAlign w:val="center"/>
          </w:tcPr>
          <w:p>
            <w:pPr>
              <w:jc w:val="left"/>
            </w:pPr>
            <w:r>
              <w:rPr>
                <w:sz w:val="13"/>
              </w:rPr>
              <w:t>COLLEGE 102 AI policy memo and proposed understanding checks</w:t>
            </w:r>
          </w:p>
        </w:tc>
        <w:tc>
          <w:tcPr>
            <w:tcW w:type="dxa" w:w="2880"/>
            <w:tcMar>
              <w:top w:w="70" w:type="dxa"/>
              <w:start w:w="85" w:type="dxa"/>
              <w:bottom w:w="70" w:type="dxa"/>
              <w:end w:w="85" w:type="dxa"/>
            </w:tcMar>
            <w:vAlign w:val="center"/>
          </w:tcPr>
          <w:p>
            <w:pPr>
              <w:jc w:val="left"/>
            </w:pPr>
            <w:r>
              <w:rPr>
                <w:sz w:val="13"/>
              </w:rPr>
              <w:t>Strong human-centered inquiry with verification still at proposal stage</w:t>
            </w:r>
          </w:p>
        </w:tc>
      </w:tr>
      <w:tr>
        <w:trPr>
          <w:cantSplit/>
        </w:trPr>
        <w:tc>
          <w:tcPr>
            <w:tcW w:type="dxa" w:w="1944"/>
            <w:shd w:fill="F7F9FA"/>
            <w:tcMar>
              <w:top w:w="70" w:type="dxa"/>
              <w:start w:w="85" w:type="dxa"/>
              <w:bottom w:w="70" w:type="dxa"/>
              <w:end w:w="85" w:type="dxa"/>
            </w:tcMar>
            <w:vAlign w:val="center"/>
          </w:tcPr>
          <w:p>
            <w:pPr>
              <w:jc w:val="left"/>
            </w:pPr>
            <w:r>
              <w:rPr>
                <w:b/>
                <w:sz w:val="13"/>
              </w:rPr>
              <w:t>University of Southern California</w:t>
            </w:r>
          </w:p>
        </w:tc>
        <w:tc>
          <w:tcPr>
            <w:tcW w:type="dxa" w:w="1800"/>
            <w:shd w:fill="F7F9FA"/>
            <w:tcMar>
              <w:top w:w="70" w:type="dxa"/>
              <w:start w:w="85" w:type="dxa"/>
              <w:bottom w:w="70" w:type="dxa"/>
              <w:end w:w="85" w:type="dxa"/>
            </w:tcMar>
            <w:vAlign w:val="center"/>
          </w:tcPr>
          <w:p>
            <w:pPr>
              <w:jc w:val="left"/>
            </w:pPr>
            <w:r>
              <w:rPr>
                <w:sz w:val="13"/>
              </w:rPr>
              <w:t>Private research university</w:t>
            </w:r>
          </w:p>
        </w:tc>
        <w:tc>
          <w:tcPr>
            <w:tcW w:type="dxa" w:w="3672"/>
            <w:shd w:fill="F7F9FA"/>
            <w:tcMar>
              <w:top w:w="70" w:type="dxa"/>
              <w:start w:w="85" w:type="dxa"/>
              <w:bottom w:w="70" w:type="dxa"/>
              <w:end w:w="85" w:type="dxa"/>
            </w:tcMar>
            <w:vAlign w:val="center"/>
          </w:tcPr>
          <w:p>
            <w:pPr>
              <w:jc w:val="left"/>
            </w:pPr>
            <w:r>
              <w:rPr>
                <w:sz w:val="13"/>
              </w:rPr>
              <w:t>ChatGPT Edu rollout and one course with a disclosed AI workflow</w:t>
            </w:r>
          </w:p>
        </w:tc>
        <w:tc>
          <w:tcPr>
            <w:tcW w:type="dxa" w:w="2880"/>
            <w:shd w:fill="F7F9FA"/>
            <w:tcMar>
              <w:top w:w="70" w:type="dxa"/>
              <w:start w:w="85" w:type="dxa"/>
              <w:bottom w:w="70" w:type="dxa"/>
              <w:end w:w="85" w:type="dxa"/>
            </w:tcMar>
            <w:vAlign w:val="center"/>
          </w:tcPr>
          <w:p>
            <w:pPr>
              <w:jc w:val="left"/>
            </w:pPr>
            <w:r>
              <w:rPr>
                <w:sz w:val="13"/>
              </w:rPr>
              <w:t>Broad protected access with formation dependent on course design</w:t>
            </w:r>
          </w:p>
        </w:tc>
      </w:tr>
      <w:tr>
        <w:trPr>
          <w:cantSplit/>
        </w:trPr>
        <w:tc>
          <w:tcPr>
            <w:tcW w:type="dxa" w:w="1944"/>
            <w:tcMar>
              <w:top w:w="70" w:type="dxa"/>
              <w:start w:w="85" w:type="dxa"/>
              <w:bottom w:w="70" w:type="dxa"/>
              <w:end w:w="85" w:type="dxa"/>
            </w:tcMar>
            <w:vAlign w:val="center"/>
          </w:tcPr>
          <w:p>
            <w:pPr>
              <w:jc w:val="left"/>
            </w:pPr>
            <w:r>
              <w:rPr>
                <w:b/>
                <w:sz w:val="13"/>
              </w:rPr>
              <w:t>California Institute of Technology</w:t>
            </w:r>
          </w:p>
        </w:tc>
        <w:tc>
          <w:tcPr>
            <w:tcW w:type="dxa" w:w="1800"/>
            <w:tcMar>
              <w:top w:w="70" w:type="dxa"/>
              <w:start w:w="85" w:type="dxa"/>
              <w:bottom w:w="70" w:type="dxa"/>
              <w:end w:w="85" w:type="dxa"/>
            </w:tcMar>
            <w:vAlign w:val="center"/>
          </w:tcPr>
          <w:p>
            <w:pPr>
              <w:jc w:val="left"/>
            </w:pPr>
            <w:r>
              <w:rPr>
                <w:sz w:val="13"/>
              </w:rPr>
              <w:t>Private research university</w:t>
            </w:r>
          </w:p>
        </w:tc>
        <w:tc>
          <w:tcPr>
            <w:tcW w:type="dxa" w:w="3672"/>
            <w:tcMar>
              <w:top w:w="70" w:type="dxa"/>
              <w:start w:w="85" w:type="dxa"/>
              <w:bottom w:w="70" w:type="dxa"/>
              <w:end w:w="85" w:type="dxa"/>
            </w:tcMar>
            <w:vAlign w:val="center"/>
          </w:tcPr>
          <w:p>
            <w:pPr>
              <w:jc w:val="left"/>
            </w:pPr>
            <w:r>
              <w:rPr>
                <w:sz w:val="13"/>
              </w:rPr>
              <w:t>Ethics and AI writing sequence with division and data safeguards</w:t>
            </w:r>
          </w:p>
        </w:tc>
        <w:tc>
          <w:tcPr>
            <w:tcW w:type="dxa" w:w="2880"/>
            <w:tcMar>
              <w:top w:w="70" w:type="dxa"/>
              <w:start w:w="85" w:type="dxa"/>
              <w:bottom w:w="70" w:type="dxa"/>
              <w:end w:w="85" w:type="dxa"/>
            </w:tcMar>
            <w:vAlign w:val="center"/>
          </w:tcPr>
          <w:p>
            <w:pPr>
              <w:jc w:val="left"/>
            </w:pPr>
            <w:r>
              <w:rPr>
                <w:sz w:val="13"/>
              </w:rPr>
              <w:t>Strong task-level guidance with careful trust and privacy protections</w:t>
            </w:r>
          </w:p>
        </w:tc>
      </w:tr>
      <w:tr>
        <w:trPr>
          <w:cantSplit/>
        </w:trPr>
        <w:tc>
          <w:tcPr>
            <w:tcW w:type="dxa" w:w="1944"/>
            <w:shd w:fill="F7F9FA"/>
            <w:tcMar>
              <w:top w:w="70" w:type="dxa"/>
              <w:start w:w="85" w:type="dxa"/>
              <w:bottom w:w="70" w:type="dxa"/>
              <w:end w:w="85" w:type="dxa"/>
            </w:tcMar>
            <w:vAlign w:val="center"/>
          </w:tcPr>
          <w:p>
            <w:pPr>
              <w:jc w:val="left"/>
            </w:pPr>
            <w:r>
              <w:rPr>
                <w:b/>
                <w:sz w:val="13"/>
              </w:rPr>
              <w:t>Loyola Marymount University</w:t>
            </w:r>
          </w:p>
        </w:tc>
        <w:tc>
          <w:tcPr>
            <w:tcW w:type="dxa" w:w="1800"/>
            <w:shd w:fill="F7F9FA"/>
            <w:tcMar>
              <w:top w:w="70" w:type="dxa"/>
              <w:start w:w="85" w:type="dxa"/>
              <w:bottom w:w="70" w:type="dxa"/>
              <w:end w:w="85" w:type="dxa"/>
            </w:tcMar>
            <w:vAlign w:val="center"/>
          </w:tcPr>
          <w:p>
            <w:pPr>
              <w:jc w:val="left"/>
            </w:pPr>
            <w:r>
              <w:rPr>
                <w:sz w:val="13"/>
              </w:rPr>
              <w:t>Private Jesuit and Catholic university</w:t>
            </w:r>
          </w:p>
        </w:tc>
        <w:tc>
          <w:tcPr>
            <w:tcW w:type="dxa" w:w="3672"/>
            <w:shd w:fill="F7F9FA"/>
            <w:tcMar>
              <w:top w:w="70" w:type="dxa"/>
              <w:start w:w="85" w:type="dxa"/>
              <w:bottom w:w="70" w:type="dxa"/>
              <w:end w:w="85" w:type="dxa"/>
            </w:tcMar>
            <w:vAlign w:val="center"/>
          </w:tcPr>
          <w:p>
            <w:pPr>
              <w:jc w:val="left"/>
            </w:pPr>
            <w:r>
              <w:rPr>
                <w:sz w:val="13"/>
              </w:rPr>
              <w:t>Co-constructed course policy and AI-free versus AI-integrated design</w:t>
            </w:r>
          </w:p>
        </w:tc>
        <w:tc>
          <w:tcPr>
            <w:tcW w:type="dxa" w:w="2880"/>
            <w:shd w:fill="F7F9FA"/>
            <w:tcMar>
              <w:top w:w="70" w:type="dxa"/>
              <w:start w:w="85" w:type="dxa"/>
              <w:bottom w:w="70" w:type="dxa"/>
              <w:end w:w="85" w:type="dxa"/>
            </w:tcMar>
            <w:vAlign w:val="center"/>
          </w:tcPr>
          <w:p>
            <w:pPr>
              <w:jc w:val="left"/>
            </w:pPr>
            <w:r>
              <w:rPr>
                <w:sz w:val="13"/>
              </w:rPr>
              <w:t>Strong whole-person mission and practical choice architecture</w:t>
            </w:r>
          </w:p>
        </w:tc>
      </w:tr>
      <w:tr>
        <w:trPr>
          <w:cantSplit/>
        </w:trPr>
        <w:tc>
          <w:tcPr>
            <w:tcW w:type="dxa" w:w="1944"/>
            <w:tcMar>
              <w:top w:w="70" w:type="dxa"/>
              <w:start w:w="85" w:type="dxa"/>
              <w:bottom w:w="70" w:type="dxa"/>
              <w:end w:w="85" w:type="dxa"/>
            </w:tcMar>
            <w:vAlign w:val="center"/>
          </w:tcPr>
          <w:p>
            <w:pPr>
              <w:jc w:val="left"/>
            </w:pPr>
            <w:r>
              <w:rPr>
                <w:b/>
                <w:sz w:val="13"/>
              </w:rPr>
              <w:t>Thomas Aquinas College</w:t>
            </w:r>
          </w:p>
        </w:tc>
        <w:tc>
          <w:tcPr>
            <w:tcW w:type="dxa" w:w="1800"/>
            <w:tcMar>
              <w:top w:w="70" w:type="dxa"/>
              <w:start w:w="85" w:type="dxa"/>
              <w:bottom w:w="70" w:type="dxa"/>
              <w:end w:w="85" w:type="dxa"/>
            </w:tcMar>
            <w:vAlign w:val="center"/>
          </w:tcPr>
          <w:p>
            <w:pPr>
              <w:jc w:val="left"/>
            </w:pPr>
            <w:r>
              <w:rPr>
                <w:sz w:val="13"/>
              </w:rPr>
              <w:t>Private Catholic four year college</w:t>
            </w:r>
          </w:p>
        </w:tc>
        <w:tc>
          <w:tcPr>
            <w:tcW w:type="dxa" w:w="3672"/>
            <w:tcMar>
              <w:top w:w="70" w:type="dxa"/>
              <w:start w:w="85" w:type="dxa"/>
              <w:bottom w:w="70" w:type="dxa"/>
              <w:end w:w="85" w:type="dxa"/>
            </w:tcMar>
            <w:vAlign w:val="center"/>
          </w:tcPr>
          <w:p>
            <w:pPr>
              <w:jc w:val="left"/>
            </w:pPr>
            <w:r>
              <w:rPr>
                <w:sz w:val="13"/>
              </w:rPr>
              <w:t>Composition and senior thesis under the California Code of Conduct</w:t>
            </w:r>
          </w:p>
        </w:tc>
        <w:tc>
          <w:tcPr>
            <w:tcW w:type="dxa" w:w="2880"/>
            <w:tcMar>
              <w:top w:w="70" w:type="dxa"/>
              <w:start w:w="85" w:type="dxa"/>
              <w:bottom w:w="70" w:type="dxa"/>
              <w:end w:w="85" w:type="dxa"/>
            </w:tcMar>
            <w:vAlign w:val="center"/>
          </w:tcPr>
          <w:p>
            <w:pPr>
              <w:jc w:val="left"/>
            </w:pPr>
            <w:r>
              <w:rPr>
                <w:sz w:val="13"/>
              </w:rPr>
              <w:t>Strongest explicit formation-based restriction in the sample</w:t>
            </w:r>
          </w:p>
        </w:tc>
      </w:tr>
      <w:tr>
        <w:trPr>
          <w:cantSplit/>
        </w:trPr>
        <w:tc>
          <w:tcPr>
            <w:tcW w:type="dxa" w:w="1944"/>
            <w:shd w:fill="F7F9FA"/>
            <w:tcMar>
              <w:top w:w="70" w:type="dxa"/>
              <w:start w:w="85" w:type="dxa"/>
              <w:bottom w:w="70" w:type="dxa"/>
              <w:end w:w="85" w:type="dxa"/>
            </w:tcMar>
            <w:vAlign w:val="center"/>
          </w:tcPr>
          <w:p>
            <w:pPr>
              <w:jc w:val="left"/>
            </w:pPr>
            <w:r>
              <w:rPr>
                <w:b/>
                <w:sz w:val="13"/>
              </w:rPr>
              <w:t>Mother of Divine Grace School</w:t>
            </w:r>
          </w:p>
        </w:tc>
        <w:tc>
          <w:tcPr>
            <w:tcW w:type="dxa" w:w="1800"/>
            <w:shd w:fill="F7F9FA"/>
            <w:tcMar>
              <w:top w:w="70" w:type="dxa"/>
              <w:start w:w="85" w:type="dxa"/>
              <w:bottom w:w="70" w:type="dxa"/>
              <w:end w:w="85" w:type="dxa"/>
            </w:tcMar>
            <w:vAlign w:val="center"/>
          </w:tcPr>
          <w:p>
            <w:pPr>
              <w:jc w:val="left"/>
            </w:pPr>
            <w:r>
              <w:rPr>
                <w:sz w:val="13"/>
              </w:rPr>
              <w:t>Private Catholic K–12</w:t>
            </w:r>
          </w:p>
        </w:tc>
        <w:tc>
          <w:tcPr>
            <w:tcW w:type="dxa" w:w="3672"/>
            <w:shd w:fill="F7F9FA"/>
            <w:tcMar>
              <w:top w:w="70" w:type="dxa"/>
              <w:start w:w="85" w:type="dxa"/>
              <w:bottom w:w="70" w:type="dxa"/>
              <w:end w:w="85" w:type="dxa"/>
            </w:tcMar>
            <w:vAlign w:val="center"/>
          </w:tcPr>
          <w:p>
            <w:pPr>
              <w:jc w:val="left"/>
            </w:pPr>
            <w:r>
              <w:rPr>
                <w:sz w:val="13"/>
              </w:rPr>
              <w:t>Grades 6 through 9 logic and composition within the parent directed sequence</w:t>
            </w:r>
          </w:p>
        </w:tc>
        <w:tc>
          <w:tcPr>
            <w:tcW w:type="dxa" w:w="2880"/>
            <w:shd w:fill="F7F9FA"/>
            <w:tcMar>
              <w:top w:w="70" w:type="dxa"/>
              <w:start w:w="85" w:type="dxa"/>
              <w:bottom w:w="70" w:type="dxa"/>
              <w:end w:w="85" w:type="dxa"/>
            </w:tcMar>
            <w:vAlign w:val="center"/>
          </w:tcPr>
          <w:p>
            <w:pPr>
              <w:jc w:val="left"/>
            </w:pPr>
            <w:r>
              <w:rPr>
                <w:sz w:val="13"/>
              </w:rPr>
              <w:t>Strong developmental formation with AI governance not publicly established</w:t>
            </w:r>
          </w:p>
        </w:tc>
      </w:tr>
      <w:tr>
        <w:trPr>
          <w:cantSplit/>
        </w:trPr>
        <w:tc>
          <w:tcPr>
            <w:tcW w:type="dxa" w:w="1944"/>
            <w:tcMar>
              <w:top w:w="70" w:type="dxa"/>
              <w:start w:w="85" w:type="dxa"/>
              <w:bottom w:w="70" w:type="dxa"/>
              <w:end w:w="85" w:type="dxa"/>
            </w:tcMar>
            <w:vAlign w:val="center"/>
          </w:tcPr>
          <w:p>
            <w:pPr>
              <w:jc w:val="left"/>
            </w:pPr>
            <w:r>
              <w:rPr>
                <w:b/>
                <w:sz w:val="13"/>
              </w:rPr>
              <w:t>Harvard Westlake School</w:t>
            </w:r>
          </w:p>
        </w:tc>
        <w:tc>
          <w:tcPr>
            <w:tcW w:type="dxa" w:w="1800"/>
            <w:tcMar>
              <w:top w:w="70" w:type="dxa"/>
              <w:start w:w="85" w:type="dxa"/>
              <w:bottom w:w="70" w:type="dxa"/>
              <w:end w:w="85" w:type="dxa"/>
            </w:tcMar>
            <w:vAlign w:val="center"/>
          </w:tcPr>
          <w:p>
            <w:pPr>
              <w:jc w:val="left"/>
            </w:pPr>
            <w:r>
              <w:rPr>
                <w:sz w:val="13"/>
              </w:rPr>
              <w:t>Private grades 7–12</w:t>
            </w:r>
          </w:p>
        </w:tc>
        <w:tc>
          <w:tcPr>
            <w:tcW w:type="dxa" w:w="3672"/>
            <w:tcMar>
              <w:top w:w="70" w:type="dxa"/>
              <w:start w:w="85" w:type="dxa"/>
              <w:bottom w:w="70" w:type="dxa"/>
              <w:end w:w="85" w:type="dxa"/>
            </w:tcMar>
            <w:vAlign w:val="center"/>
          </w:tcPr>
          <w:p>
            <w:pPr>
              <w:jc w:val="left"/>
            </w:pPr>
            <w:r>
              <w:rPr>
                <w:sz w:val="13"/>
              </w:rPr>
              <w:t>Ethics technology and society course in the age of AI</w:t>
            </w:r>
          </w:p>
        </w:tc>
        <w:tc>
          <w:tcPr>
            <w:tcW w:type="dxa" w:w="2880"/>
            <w:tcMar>
              <w:top w:w="70" w:type="dxa"/>
              <w:start w:w="85" w:type="dxa"/>
              <w:bottom w:w="70" w:type="dxa"/>
              <w:end w:w="85" w:type="dxa"/>
            </w:tcMar>
            <w:vAlign w:val="center"/>
          </w:tcPr>
          <w:p>
            <w:pPr>
              <w:jc w:val="left"/>
            </w:pPr>
            <w:r>
              <w:rPr>
                <w:sz w:val="13"/>
              </w:rPr>
              <w:t>Visible AI ethics curriculum with schoolwide operating rules unresolved</w:t>
            </w:r>
          </w:p>
        </w:tc>
      </w:tr>
      <w:tr>
        <w:trPr>
          <w:cantSplit/>
        </w:trPr>
        <w:tc>
          <w:tcPr>
            <w:tcW w:type="dxa" w:w="1944"/>
            <w:shd w:fill="F7F9FA"/>
            <w:tcMar>
              <w:top w:w="70" w:type="dxa"/>
              <w:start w:w="85" w:type="dxa"/>
              <w:bottom w:w="70" w:type="dxa"/>
              <w:end w:w="85" w:type="dxa"/>
            </w:tcMar>
            <w:vAlign w:val="center"/>
          </w:tcPr>
          <w:p>
            <w:pPr>
              <w:jc w:val="left"/>
            </w:pPr>
            <w:r>
              <w:rPr>
                <w:b/>
                <w:sz w:val="13"/>
              </w:rPr>
              <w:t>High Tech High</w:t>
            </w:r>
          </w:p>
        </w:tc>
        <w:tc>
          <w:tcPr>
            <w:tcW w:type="dxa" w:w="1800"/>
            <w:shd w:fill="F7F9FA"/>
            <w:tcMar>
              <w:top w:w="70" w:type="dxa"/>
              <w:start w:w="85" w:type="dxa"/>
              <w:bottom w:w="70" w:type="dxa"/>
              <w:end w:w="85" w:type="dxa"/>
            </w:tcMar>
            <w:vAlign w:val="center"/>
          </w:tcPr>
          <w:p>
            <w:pPr>
              <w:jc w:val="left"/>
            </w:pPr>
            <w:r>
              <w:rPr>
                <w:sz w:val="13"/>
              </w:rPr>
              <w:t>Public charter K–12</w:t>
            </w:r>
          </w:p>
        </w:tc>
        <w:tc>
          <w:tcPr>
            <w:tcW w:type="dxa" w:w="3672"/>
            <w:shd w:fill="F7F9FA"/>
            <w:tcMar>
              <w:top w:w="70" w:type="dxa"/>
              <w:start w:w="85" w:type="dxa"/>
              <w:bottom w:w="70" w:type="dxa"/>
              <w:end w:w="85" w:type="dxa"/>
            </w:tcMar>
            <w:vAlign w:val="center"/>
          </w:tcPr>
          <w:p>
            <w:pPr>
              <w:jc w:val="left"/>
            </w:pPr>
            <w:r>
              <w:rPr>
                <w:sz w:val="13"/>
              </w:rPr>
              <w:t>Board approved AI policy and an exhibition based student project</w:t>
            </w:r>
          </w:p>
        </w:tc>
        <w:tc>
          <w:tcPr>
            <w:tcW w:type="dxa" w:w="2880"/>
            <w:shd w:fill="F7F9FA"/>
            <w:tcMar>
              <w:top w:w="70" w:type="dxa"/>
              <w:start w:w="85" w:type="dxa"/>
              <w:bottom w:w="70" w:type="dxa"/>
              <w:end w:w="85" w:type="dxa"/>
            </w:tcMar>
            <w:vAlign w:val="center"/>
          </w:tcPr>
          <w:p>
            <w:pPr>
              <w:jc w:val="left"/>
            </w:pPr>
            <w:r>
              <w:rPr>
                <w:sz w:val="13"/>
              </w:rPr>
              <w:t>Board governance and student voice are established but full policy text remains to capture</w:t>
            </w:r>
          </w:p>
        </w:tc>
      </w:tr>
    </w:tbl>
    <w:p>
      <w:pPr>
        <w:spacing w:after="0"/>
      </w:pPr>
    </w:p>
    <w:p>
      <w:pPr>
        <w:pStyle w:val="Heading1"/>
      </w:pPr>
      <w:r>
        <w:t>Common evidence test</w:t>
      </w:r>
    </w:p>
    <w:tbl>
      <w:tblPr>
        <w:tblW w:type="auto" w:w="0"/>
        <w:jc w:val="center"/>
        <w:tblLayout w:type="fixed"/>
        <w:tblLook w:firstColumn="1" w:firstRow="1" w:lastColumn="0" w:lastRow="0" w:noHBand="0" w:noVBand="1" w:val="04A0"/>
        <w:tblBorders>
          <w:top w:val="single" w:sz="5" w:color="D3D9DD"/>
          <w:left w:val="single" w:sz="5" w:color="D3D9DD"/>
          <w:bottom w:val="single" w:sz="5" w:color="D3D9DD"/>
          <w:right w:val="single" w:sz="5" w:color="D3D9DD"/>
          <w:insideH w:val="single" w:sz="5" w:color="D3D9DD"/>
          <w:insideV w:val="single" w:sz="5" w:color="D3D9DD"/>
        </w:tblBorders>
      </w:tblPr>
      <w:tblGrid>
        <w:gridCol w:w="3427"/>
        <w:gridCol w:w="3427"/>
        <w:gridCol w:w="3427"/>
      </w:tblGrid>
      <w:tr>
        <w:trPr>
          <w:cantSplit/>
          <w:tblHeader w:val="true"/>
        </w:trPr>
        <w:tc>
          <w:tcPr>
            <w:tcW w:type="dxa" w:w="1872"/>
            <w:shd w:fill="173A52"/>
            <w:tcMar>
              <w:top w:w="70" w:type="dxa"/>
              <w:start w:w="85" w:type="dxa"/>
              <w:bottom w:w="70" w:type="dxa"/>
              <w:end w:w="85" w:type="dxa"/>
            </w:tcMar>
            <w:vAlign w:val="center"/>
          </w:tcPr>
          <w:p>
            <w:pPr>
              <w:jc w:val="left"/>
            </w:pPr>
            <w:r>
              <w:rPr>
                <w:b/>
                <w:color w:val="FFFFFF"/>
                <w:sz w:val="15"/>
              </w:rPr>
              <w:t>Evidence layer</w:t>
            </w:r>
          </w:p>
        </w:tc>
        <w:tc>
          <w:tcPr>
            <w:tcW w:type="dxa" w:w="3816"/>
            <w:shd w:fill="173A52"/>
            <w:tcMar>
              <w:top w:w="70" w:type="dxa"/>
              <w:start w:w="85" w:type="dxa"/>
              <w:bottom w:w="70" w:type="dxa"/>
              <w:end w:w="85" w:type="dxa"/>
            </w:tcMar>
            <w:vAlign w:val="center"/>
          </w:tcPr>
          <w:p>
            <w:pPr>
              <w:jc w:val="left"/>
            </w:pPr>
            <w:r>
              <w:rPr>
                <w:b/>
                <w:color w:val="FFFFFF"/>
                <w:sz w:val="15"/>
              </w:rPr>
              <w:t>Question</w:t>
            </w:r>
          </w:p>
        </w:tc>
        <w:tc>
          <w:tcPr>
            <w:tcW w:type="dxa" w:w="4608"/>
            <w:shd w:fill="173A52"/>
            <w:tcMar>
              <w:top w:w="70" w:type="dxa"/>
              <w:start w:w="85" w:type="dxa"/>
              <w:bottom w:w="70" w:type="dxa"/>
              <w:end w:w="85" w:type="dxa"/>
            </w:tcMar>
            <w:vAlign w:val="center"/>
          </w:tcPr>
          <w:p>
            <w:pPr>
              <w:jc w:val="left"/>
            </w:pPr>
            <w:r>
              <w:rPr>
                <w:b/>
                <w:color w:val="FFFFFF"/>
                <w:sz w:val="15"/>
              </w:rPr>
              <w:t>Required capture</w:t>
            </w:r>
          </w:p>
        </w:tc>
      </w:tr>
      <w:tr>
        <w:trPr>
          <w:cantSplit/>
        </w:trPr>
        <w:tc>
          <w:tcPr>
            <w:tcW w:type="dxa" w:w="1872"/>
            <w:tcMar>
              <w:top w:w="70" w:type="dxa"/>
              <w:start w:w="85" w:type="dxa"/>
              <w:bottom w:w="70" w:type="dxa"/>
              <w:end w:w="85" w:type="dxa"/>
            </w:tcMar>
            <w:vAlign w:val="center"/>
          </w:tcPr>
          <w:p>
            <w:pPr>
              <w:jc w:val="left"/>
            </w:pPr>
            <w:r>
              <w:rPr>
                <w:b/>
                <w:sz w:val="14"/>
              </w:rPr>
              <w:t>Purpose</w:t>
            </w:r>
          </w:p>
        </w:tc>
        <w:tc>
          <w:tcPr>
            <w:tcW w:type="dxa" w:w="3816"/>
            <w:tcMar>
              <w:top w:w="70" w:type="dxa"/>
              <w:start w:w="85" w:type="dxa"/>
              <w:bottom w:w="70" w:type="dxa"/>
              <w:end w:w="85" w:type="dxa"/>
            </w:tcMar>
            <w:vAlign w:val="center"/>
          </w:tcPr>
          <w:p>
            <w:pPr>
              <w:jc w:val="left"/>
            </w:pPr>
            <w:r>
              <w:rPr>
                <w:sz w:val="14"/>
              </w:rPr>
              <w:t>Which human capacity is the activity intended to form?</w:t>
            </w:r>
          </w:p>
        </w:tc>
        <w:tc>
          <w:tcPr>
            <w:tcW w:type="dxa" w:w="4608"/>
            <w:tcMar>
              <w:top w:w="70" w:type="dxa"/>
              <w:start w:w="85" w:type="dxa"/>
              <w:bottom w:w="70" w:type="dxa"/>
              <w:end w:w="85" w:type="dxa"/>
            </w:tcMar>
            <w:vAlign w:val="center"/>
          </w:tcPr>
          <w:p>
            <w:pPr>
              <w:jc w:val="left"/>
            </w:pPr>
            <w:r>
              <w:rPr>
                <w:sz w:val="14"/>
              </w:rPr>
              <w:t>Mission or course aim tied to knowledge, reasoning, writing, judgment, character, relationship, or vocation.</w:t>
            </w:r>
          </w:p>
        </w:tc>
      </w:tr>
      <w:tr>
        <w:trPr>
          <w:cantSplit/>
        </w:trPr>
        <w:tc>
          <w:tcPr>
            <w:tcW w:type="dxa" w:w="1872"/>
            <w:shd w:fill="F7F9FA"/>
            <w:tcMar>
              <w:top w:w="70" w:type="dxa"/>
              <w:start w:w="85" w:type="dxa"/>
              <w:bottom w:w="70" w:type="dxa"/>
              <w:end w:w="85" w:type="dxa"/>
            </w:tcMar>
            <w:vAlign w:val="center"/>
          </w:tcPr>
          <w:p>
            <w:pPr>
              <w:jc w:val="left"/>
            </w:pPr>
            <w:r>
              <w:rPr>
                <w:b/>
                <w:sz w:val="14"/>
              </w:rPr>
              <w:t>Rule</w:t>
            </w:r>
          </w:p>
        </w:tc>
        <w:tc>
          <w:tcPr>
            <w:tcW w:type="dxa" w:w="3816"/>
            <w:shd w:fill="F7F9FA"/>
            <w:tcMar>
              <w:top w:w="70" w:type="dxa"/>
              <w:start w:w="85" w:type="dxa"/>
              <w:bottom w:w="70" w:type="dxa"/>
              <w:end w:w="85" w:type="dxa"/>
            </w:tcMar>
            <w:vAlign w:val="center"/>
          </w:tcPr>
          <w:p>
            <w:pPr>
              <w:jc w:val="left"/>
            </w:pPr>
            <w:r>
              <w:rPr>
                <w:sz w:val="14"/>
              </w:rPr>
              <w:t>What may AI do and what must the learner do?</w:t>
            </w:r>
          </w:p>
        </w:tc>
        <w:tc>
          <w:tcPr>
            <w:tcW w:type="dxa" w:w="4608"/>
            <w:shd w:fill="F7F9FA"/>
            <w:tcMar>
              <w:top w:w="70" w:type="dxa"/>
              <w:start w:w="85" w:type="dxa"/>
              <w:bottom w:w="70" w:type="dxa"/>
              <w:end w:w="85" w:type="dxa"/>
            </w:tcMar>
            <w:vAlign w:val="center"/>
          </w:tcPr>
          <w:p>
            <w:pPr>
              <w:jc w:val="left"/>
            </w:pPr>
            <w:r>
              <w:rPr>
                <w:sz w:val="14"/>
              </w:rPr>
              <w:t>Exact policy text, authority, date, tool, disclosure, privacy, access, age, consent, and alternatives.</w:t>
            </w:r>
          </w:p>
        </w:tc>
      </w:tr>
      <w:tr>
        <w:trPr>
          <w:cantSplit/>
        </w:trPr>
        <w:tc>
          <w:tcPr>
            <w:tcW w:type="dxa" w:w="1872"/>
            <w:tcMar>
              <w:top w:w="70" w:type="dxa"/>
              <w:start w:w="85" w:type="dxa"/>
              <w:bottom w:w="70" w:type="dxa"/>
              <w:end w:w="85" w:type="dxa"/>
            </w:tcMar>
            <w:vAlign w:val="center"/>
          </w:tcPr>
          <w:p>
            <w:pPr>
              <w:jc w:val="left"/>
            </w:pPr>
            <w:r>
              <w:rPr>
                <w:b/>
                <w:sz w:val="14"/>
              </w:rPr>
              <w:t>Practice</w:t>
            </w:r>
          </w:p>
        </w:tc>
        <w:tc>
          <w:tcPr>
            <w:tcW w:type="dxa" w:w="3816"/>
            <w:tcMar>
              <w:top w:w="70" w:type="dxa"/>
              <w:start w:w="85" w:type="dxa"/>
              <w:bottom w:w="70" w:type="dxa"/>
              <w:end w:w="85" w:type="dxa"/>
            </w:tcMar>
            <w:vAlign w:val="center"/>
          </w:tcPr>
          <w:p>
            <w:pPr>
              <w:jc w:val="left"/>
            </w:pPr>
            <w:r>
              <w:rPr>
                <w:sz w:val="14"/>
              </w:rPr>
              <w:t>How is the rule implemented in one real learning activity?</w:t>
            </w:r>
          </w:p>
        </w:tc>
        <w:tc>
          <w:tcPr>
            <w:tcW w:type="dxa" w:w="4608"/>
            <w:tcMar>
              <w:top w:w="70" w:type="dxa"/>
              <w:start w:w="85" w:type="dxa"/>
              <w:bottom w:w="70" w:type="dxa"/>
              <w:end w:w="85" w:type="dxa"/>
            </w:tcMar>
            <w:vAlign w:val="center"/>
          </w:tcPr>
          <w:p>
            <w:pPr>
              <w:jc w:val="left"/>
            </w:pPr>
            <w:r>
              <w:rPr>
                <w:sz w:val="14"/>
              </w:rPr>
              <w:t>Prompt, readings, drafts, AI records when permitted, feedback, rubric, and student artifact.</w:t>
            </w:r>
          </w:p>
        </w:tc>
      </w:tr>
      <w:tr>
        <w:trPr>
          <w:cantSplit/>
        </w:trPr>
        <w:tc>
          <w:tcPr>
            <w:tcW w:type="dxa" w:w="1872"/>
            <w:shd w:fill="F7F9FA"/>
            <w:tcMar>
              <w:top w:w="70" w:type="dxa"/>
              <w:start w:w="85" w:type="dxa"/>
              <w:bottom w:w="70" w:type="dxa"/>
              <w:end w:w="85" w:type="dxa"/>
            </w:tcMar>
            <w:vAlign w:val="center"/>
          </w:tcPr>
          <w:p>
            <w:pPr>
              <w:jc w:val="left"/>
            </w:pPr>
            <w:r>
              <w:rPr>
                <w:b/>
                <w:sz w:val="14"/>
              </w:rPr>
              <w:t>Independent result</w:t>
            </w:r>
          </w:p>
        </w:tc>
        <w:tc>
          <w:tcPr>
            <w:tcW w:type="dxa" w:w="3816"/>
            <w:shd w:fill="F7F9FA"/>
            <w:tcMar>
              <w:top w:w="70" w:type="dxa"/>
              <w:start w:w="85" w:type="dxa"/>
              <w:bottom w:w="70" w:type="dxa"/>
              <w:end w:w="85" w:type="dxa"/>
            </w:tcMar>
            <w:vAlign w:val="center"/>
          </w:tcPr>
          <w:p>
            <w:pPr>
              <w:jc w:val="left"/>
            </w:pPr>
            <w:r>
              <w:rPr>
                <w:sz w:val="14"/>
              </w:rPr>
              <w:t>What can the learner do after assistance ends?</w:t>
            </w:r>
          </w:p>
        </w:tc>
        <w:tc>
          <w:tcPr>
            <w:tcW w:type="dxa" w:w="4608"/>
            <w:shd w:fill="F7F9FA"/>
            <w:tcMar>
              <w:top w:w="70" w:type="dxa"/>
              <w:start w:w="85" w:type="dxa"/>
              <w:bottom w:w="70" w:type="dxa"/>
              <w:end w:w="85" w:type="dxa"/>
            </w:tcMar>
            <w:vAlign w:val="center"/>
          </w:tcPr>
          <w:p>
            <w:pPr>
              <w:jc w:val="left"/>
            </w:pPr>
            <w:r>
              <w:rPr>
                <w:sz w:val="14"/>
              </w:rPr>
              <w:t>Oral, written, practical, creative, mathematical, laboratory, or performance evidence under H0 conditions.</w:t>
            </w:r>
          </w:p>
        </w:tc>
      </w:tr>
      <w:tr>
        <w:trPr>
          <w:cantSplit/>
        </w:trPr>
        <w:tc>
          <w:tcPr>
            <w:tcW w:type="dxa" w:w="1872"/>
            <w:tcMar>
              <w:top w:w="70" w:type="dxa"/>
              <w:start w:w="85" w:type="dxa"/>
              <w:bottom w:w="70" w:type="dxa"/>
              <w:end w:w="85" w:type="dxa"/>
            </w:tcMar>
            <w:vAlign w:val="center"/>
          </w:tcPr>
          <w:p>
            <w:pPr>
              <w:jc w:val="left"/>
            </w:pPr>
            <w:r>
              <w:rPr>
                <w:b/>
                <w:sz w:val="14"/>
              </w:rPr>
              <w:t>Human setting</w:t>
            </w:r>
          </w:p>
        </w:tc>
        <w:tc>
          <w:tcPr>
            <w:tcW w:type="dxa" w:w="3816"/>
            <w:tcMar>
              <w:top w:w="70" w:type="dxa"/>
              <w:start w:w="85" w:type="dxa"/>
              <w:bottom w:w="70" w:type="dxa"/>
              <w:end w:w="85" w:type="dxa"/>
            </w:tcMar>
            <w:vAlign w:val="center"/>
          </w:tcPr>
          <w:p>
            <w:pPr>
              <w:jc w:val="left"/>
            </w:pPr>
            <w:r>
              <w:rPr>
                <w:sz w:val="14"/>
              </w:rPr>
              <w:t>What relationships and conditions shape the result?</w:t>
            </w:r>
          </w:p>
        </w:tc>
        <w:tc>
          <w:tcPr>
            <w:tcW w:type="dxa" w:w="4608"/>
            <w:tcMar>
              <w:top w:w="70" w:type="dxa"/>
              <w:start w:w="85" w:type="dxa"/>
              <w:bottom w:w="70" w:type="dxa"/>
              <w:end w:w="85" w:type="dxa"/>
            </w:tcMar>
            <w:vAlign w:val="center"/>
          </w:tcPr>
          <w:p>
            <w:pPr>
              <w:jc w:val="left"/>
            </w:pPr>
            <w:r>
              <w:rPr>
                <w:sz w:val="14"/>
              </w:rPr>
              <w:t>Teacher, parent, peer, mentor, family, friendship, disability, prior preparation, attention, and support.</w:t>
            </w:r>
          </w:p>
        </w:tc>
      </w:tr>
      <w:tr>
        <w:trPr>
          <w:cantSplit/>
        </w:trPr>
        <w:tc>
          <w:tcPr>
            <w:tcW w:type="dxa" w:w="1872"/>
            <w:shd w:fill="F7F9FA"/>
            <w:tcMar>
              <w:top w:w="70" w:type="dxa"/>
              <w:start w:w="85" w:type="dxa"/>
              <w:bottom w:w="70" w:type="dxa"/>
              <w:end w:w="85" w:type="dxa"/>
            </w:tcMar>
            <w:vAlign w:val="center"/>
          </w:tcPr>
          <w:p>
            <w:pPr>
              <w:jc w:val="left"/>
            </w:pPr>
            <w:r>
              <w:rPr>
                <w:b/>
                <w:sz w:val="14"/>
              </w:rPr>
              <w:t>Outcome</w:t>
            </w:r>
          </w:p>
        </w:tc>
        <w:tc>
          <w:tcPr>
            <w:tcW w:type="dxa" w:w="3816"/>
            <w:shd w:fill="F7F9FA"/>
            <w:tcMar>
              <w:top w:w="70" w:type="dxa"/>
              <w:start w:w="85" w:type="dxa"/>
              <w:bottom w:w="70" w:type="dxa"/>
              <w:end w:w="85" w:type="dxa"/>
            </w:tcMar>
            <w:vAlign w:val="center"/>
          </w:tcPr>
          <w:p>
            <w:pPr>
              <w:jc w:val="left"/>
            </w:pPr>
            <w:r>
              <w:rPr>
                <w:sz w:val="14"/>
              </w:rPr>
              <w:t>Does the practice improve durable learning or wellness?</w:t>
            </w:r>
          </w:p>
        </w:tc>
        <w:tc>
          <w:tcPr>
            <w:tcW w:type="dxa" w:w="4608"/>
            <w:shd w:fill="F7F9FA"/>
            <w:tcMar>
              <w:top w:w="70" w:type="dxa"/>
              <w:start w:w="85" w:type="dxa"/>
              <w:bottom w:w="70" w:type="dxa"/>
              <w:end w:w="85" w:type="dxa"/>
            </w:tcMar>
            <w:vAlign w:val="center"/>
          </w:tcPr>
          <w:p>
            <w:pPr>
              <w:jc w:val="left"/>
            </w:pPr>
            <w:r>
              <w:rPr>
                <w:sz w:val="14"/>
              </w:rPr>
              <w:t>Comparable measures, time window, baseline, limitations, alternative explanations, and evidence strength.</w:t>
            </w:r>
          </w:p>
        </w:tc>
      </w:tr>
    </w:tbl>
    <w:p>
      <w:pPr>
        <w:spacing w:after="0"/>
      </w:pPr>
    </w:p>
    <w:p>
      <w:pPr>
        <w:pStyle w:val="Heading1"/>
      </w:pPr>
      <w:r>
        <w:t>Case 1  UC Berkeley</w:t>
      </w:r>
    </w:p>
    <w:tbl>
      <w:tblPr>
        <w:tblW w:type="auto" w:w="0"/>
        <w:jc w:val="center"/>
        <w:tblLayout w:type="fixed"/>
        <w:tblLook w:firstColumn="1" w:firstRow="1" w:lastColumn="0" w:lastRow="0" w:noHBand="0" w:noVBand="1" w:val="04A0"/>
        <w:tblBorders>
          <w:top w:val="single" w:sz="5" w:color="D3D9DD"/>
          <w:left w:val="single" w:sz="5" w:color="D3D9DD"/>
          <w:bottom w:val="single" w:sz="5" w:color="D3D9DD"/>
          <w:right w:val="single" w:sz="5" w:color="D3D9DD"/>
          <w:insideH w:val="single" w:sz="5" w:color="D3D9DD"/>
          <w:insideV w:val="single" w:sz="5" w:color="D3D9DD"/>
        </w:tblBorders>
      </w:tblPr>
      <w:tblGrid>
        <w:gridCol w:w="5141"/>
        <w:gridCol w:w="5141"/>
      </w:tblGrid>
      <w:tr>
        <w:trPr>
          <w:cantSplit/>
          <w:tblHeader w:val="true"/>
        </w:trPr>
        <w:tc>
          <w:tcPr>
            <w:tcW w:type="dxa" w:w="1944"/>
            <w:shd w:fill="173A52"/>
            <w:tcMar>
              <w:top w:w="70" w:type="dxa"/>
              <w:start w:w="85" w:type="dxa"/>
              <w:bottom w:w="70" w:type="dxa"/>
              <w:end w:w="85" w:type="dxa"/>
            </w:tcMar>
            <w:vAlign w:val="center"/>
          </w:tcPr>
          <w:p>
            <w:pPr>
              <w:jc w:val="left"/>
            </w:pPr>
            <w:r>
              <w:rPr>
                <w:b/>
                <w:color w:val="FFFFFF"/>
                <w:sz w:val="16"/>
              </w:rPr>
              <w:t>Field</w:t>
            </w:r>
          </w:p>
        </w:tc>
        <w:tc>
          <w:tcPr>
            <w:tcW w:type="dxa" w:w="8352"/>
            <w:shd w:fill="173A52"/>
            <w:tcMar>
              <w:top w:w="70" w:type="dxa"/>
              <w:start w:w="85" w:type="dxa"/>
              <w:bottom w:w="70" w:type="dxa"/>
              <w:end w:w="85" w:type="dxa"/>
            </w:tcMar>
            <w:vAlign w:val="center"/>
          </w:tcPr>
          <w:p>
            <w:pPr>
              <w:jc w:val="left"/>
            </w:pPr>
            <w:r>
              <w:rPr>
                <w:b/>
                <w:color w:val="FFFFFF"/>
                <w:sz w:val="16"/>
              </w:rPr>
              <w:t>Initial case record</w:t>
            </w:r>
          </w:p>
        </w:tc>
      </w:tr>
      <w:tr>
        <w:trPr>
          <w:cantSplit/>
        </w:trPr>
        <w:tc>
          <w:tcPr>
            <w:tcW w:type="dxa" w:w="1944"/>
            <w:tcMar>
              <w:top w:w="70" w:type="dxa"/>
              <w:start w:w="85" w:type="dxa"/>
              <w:bottom w:w="70" w:type="dxa"/>
              <w:end w:w="85" w:type="dxa"/>
            </w:tcMar>
            <w:vAlign w:val="center"/>
          </w:tcPr>
          <w:p>
            <w:pPr>
              <w:jc w:val="left"/>
            </w:pPr>
            <w:r>
              <w:rPr>
                <w:b/>
                <w:sz w:val="15"/>
              </w:rPr>
              <w:t>Institution</w:t>
            </w:r>
          </w:p>
        </w:tc>
        <w:tc>
          <w:tcPr>
            <w:tcW w:type="dxa" w:w="8352"/>
            <w:tcMar>
              <w:top w:w="70" w:type="dxa"/>
              <w:start w:w="85" w:type="dxa"/>
              <w:bottom w:w="70" w:type="dxa"/>
              <w:end w:w="85" w:type="dxa"/>
            </w:tcMar>
            <w:vAlign w:val="center"/>
          </w:tcPr>
          <w:p>
            <w:pPr>
              <w:jc w:val="left"/>
            </w:pPr>
            <w:r>
              <w:rPr>
                <w:sz w:val="15"/>
              </w:rPr>
              <w:t>Public research university</w:t>
            </w:r>
          </w:p>
        </w:tc>
      </w:tr>
      <w:tr>
        <w:trPr>
          <w:cantSplit/>
        </w:trPr>
        <w:tc>
          <w:tcPr>
            <w:tcW w:type="dxa" w:w="1944"/>
            <w:shd w:fill="F7F9FA"/>
            <w:tcMar>
              <w:top w:w="70" w:type="dxa"/>
              <w:start w:w="85" w:type="dxa"/>
              <w:bottom w:w="70" w:type="dxa"/>
              <w:end w:w="85" w:type="dxa"/>
            </w:tcMar>
            <w:vAlign w:val="center"/>
          </w:tcPr>
          <w:p>
            <w:pPr>
              <w:jc w:val="left"/>
            </w:pPr>
            <w:r>
              <w:rPr>
                <w:b/>
                <w:sz w:val="15"/>
              </w:rPr>
              <w:t>Review unit</w:t>
            </w:r>
          </w:p>
        </w:tc>
        <w:tc>
          <w:tcPr>
            <w:tcW w:type="dxa" w:w="8352"/>
            <w:shd w:fill="F7F9FA"/>
            <w:tcMar>
              <w:top w:w="70" w:type="dxa"/>
              <w:start w:w="85" w:type="dxa"/>
              <w:bottom w:w="70" w:type="dxa"/>
              <w:end w:w="85" w:type="dxa"/>
            </w:tcMar>
            <w:vAlign w:val="center"/>
          </w:tcPr>
          <w:p>
            <w:pPr>
              <w:jc w:val="left"/>
            </w:pPr>
            <w:r>
              <w:rPr>
                <w:sz w:val="15"/>
              </w:rPr>
              <w:t>Berkeley Law policy and campus teaching guidance</w:t>
            </w:r>
          </w:p>
        </w:tc>
      </w:tr>
      <w:tr>
        <w:trPr>
          <w:cantSplit/>
        </w:trPr>
        <w:tc>
          <w:tcPr>
            <w:tcW w:type="dxa" w:w="1944"/>
            <w:tcMar>
              <w:top w:w="70" w:type="dxa"/>
              <w:start w:w="85" w:type="dxa"/>
              <w:bottom w:w="70" w:type="dxa"/>
              <w:end w:w="85" w:type="dxa"/>
            </w:tcMar>
            <w:vAlign w:val="center"/>
          </w:tcPr>
          <w:p>
            <w:pPr>
              <w:jc w:val="left"/>
            </w:pPr>
            <w:r>
              <w:rPr>
                <w:b/>
                <w:sz w:val="15"/>
              </w:rPr>
              <w:t>AI condition</w:t>
            </w:r>
          </w:p>
        </w:tc>
        <w:tc>
          <w:tcPr>
            <w:tcW w:type="dxa" w:w="8352"/>
            <w:tcMar>
              <w:top w:w="70" w:type="dxa"/>
              <w:start w:w="85" w:type="dxa"/>
              <w:bottom w:w="70" w:type="dxa"/>
              <w:end w:w="85" w:type="dxa"/>
            </w:tcMar>
            <w:vAlign w:val="center"/>
          </w:tcPr>
          <w:p>
            <w:pPr>
              <w:jc w:val="left"/>
            </w:pPr>
            <w:r>
              <w:rPr>
                <w:sz w:val="15"/>
              </w:rPr>
              <w:t>H0 default with defined exceptions at Berkeley Law; variable H0 through S2 elsewhere</w:t>
            </w:r>
          </w:p>
        </w:tc>
      </w:tr>
      <w:tr>
        <w:trPr>
          <w:cantSplit/>
        </w:trPr>
        <w:tc>
          <w:tcPr>
            <w:tcW w:type="dxa" w:w="1944"/>
            <w:shd w:fill="F7F9FA"/>
            <w:tcMar>
              <w:top w:w="70" w:type="dxa"/>
              <w:start w:w="85" w:type="dxa"/>
              <w:bottom w:w="70" w:type="dxa"/>
              <w:end w:w="85" w:type="dxa"/>
            </w:tcMar>
            <w:vAlign w:val="center"/>
          </w:tcPr>
          <w:p>
            <w:pPr>
              <w:jc w:val="left"/>
            </w:pPr>
            <w:r>
              <w:rPr>
                <w:b/>
                <w:sz w:val="15"/>
              </w:rPr>
              <w:t>Current status</w:t>
            </w:r>
          </w:p>
        </w:tc>
        <w:tc>
          <w:tcPr>
            <w:tcW w:type="dxa" w:w="8352"/>
            <w:shd w:fill="F7F9FA"/>
            <w:tcMar>
              <w:top w:w="70" w:type="dxa"/>
              <w:start w:w="85" w:type="dxa"/>
              <w:bottom w:w="70" w:type="dxa"/>
              <w:end w:w="85" w:type="dxa"/>
            </w:tcMar>
            <w:vAlign w:val="center"/>
          </w:tcPr>
          <w:p>
            <w:pPr>
              <w:jc w:val="left"/>
            </w:pPr>
            <w:r>
              <w:rPr>
                <w:sz w:val="15"/>
              </w:rPr>
              <w:t>Strong governance with a new high-information restrictive case</w:t>
            </w:r>
          </w:p>
        </w:tc>
      </w:tr>
    </w:tbl>
    <w:p>
      <w:pPr>
        <w:spacing w:after="0"/>
      </w:pPr>
    </w:p>
    <w:p>
      <w:pPr>
        <w:pStyle w:val="Heading2"/>
      </w:pPr>
      <w:r>
        <w:t>Initial finding</w:t>
      </w:r>
    </w:p>
    <w:p>
      <w:r>
        <w:t>Berkeley combines broad campus enablement with decentralized course authority. The most useful Phase Eight case is Berkeley Law's policy effective in summer 2026. It sets a restrictive default for work submitted for credit and makes the preservation of independent legal reasoning an explicit educational aim. This is stronger evidence than a general campus statement because it connects a rule to the mental work the program intends to form.</w:t>
      </w:r>
    </w:p>
    <w:p>
      <w:pPr>
        <w:pStyle w:val="Heading2"/>
      </w:pPr>
      <w:r>
        <w:t>Published rule and governance</w:t>
      </w:r>
    </w:p>
    <w:p>
      <w:r>
        <w:t>Campus guidance directs instructors to state course-specific permissions, encourages use of institutionally licensed tools where appropriate, and warns against sharing protected or proprietary information. Berkeley Law establishes a much stricter unit-level default. Its published questions and answers explain that the policy governs uses such as conceptualizing, outlining, drafting, revising, translating, or editing credited work unless an authorized exception applies.</w:t>
      </w:r>
    </w:p>
    <w:p>
      <w:pPr>
        <w:pStyle w:val="Heading2"/>
      </w:pPr>
      <w:r>
        <w:t>Representative learning activity</w:t>
      </w:r>
    </w:p>
    <w:p>
      <w:r>
        <w:t>Review one first-year legal writing or doctrinal assignment under the law-school rule. Preserve the assignment, source packet, draft history, permitted research methods, instructor feedback, and any later oral or supervised explanation. A secondary comparison should use a Berkeley course that permits bounded AI after foundational work.</w:t>
      </w:r>
    </w:p>
    <w:p>
      <w:pPr>
        <w:pStyle w:val="Heading2"/>
      </w:pPr>
      <w:r>
        <w:t>Protected human performance</w:t>
      </w:r>
    </w:p>
    <w:p>
      <w:r>
        <w:t>An individual closed-resource analysis, oral defense, or supervised issue-spotting exercise should test whether the student can identify authority, distinguish facts, reason from precedent, and explain the limits of an argument without AI.</w:t>
      </w:r>
    </w:p>
    <w:p>
      <w:pPr>
        <w:pStyle w:val="Heading2"/>
      </w:pPr>
      <w:r>
        <w:t>Significance for the well formed mind</w:t>
      </w:r>
    </w:p>
    <w:p>
      <w:r>
        <w:t>The law-school case directly tests the investigation's central proposition: formation sometimes requires prohibiting assistance during the very acts that create judgment. Berkeley also shows why a university cannot be scored from a single campus posture; governance differs materially by school and course.</w:t>
      </w:r>
    </w:p>
    <w:p>
      <w:pPr>
        <w:pStyle w:val="Heading2"/>
      </w:pPr>
      <w:r>
        <w:t>COVID wellness and relationships</w:t>
      </w:r>
    </w:p>
    <w:p>
      <w:r>
        <w:t>Berkeley documents emergency remote instruction and unequal disruption. The case file should compare cohorts only if comparable measures exist and should not attribute current AI rules to COVID without evidence. Attention, workload, belonging, and help-seeking remain relevant outcomes.</w:t>
      </w:r>
    </w:p>
    <w:p>
      <w:pPr>
        <w:pStyle w:val="Heading2"/>
      </w:pPr>
      <w:r>
        <w:t>Evidence still needed</w:t>
      </w:r>
    </w:p>
    <w:p>
      <w:pPr>
        <w:pStyle w:val="ListBullet"/>
        <w:ind w:left="389" w:hanging="216"/>
      </w:pPr>
      <w:r>
        <w:t>Implementation evidence across Berkeley Law courses and the frequency of authorized exceptions.</w:t>
      </w:r>
    </w:p>
    <w:p>
      <w:pPr>
        <w:pStyle w:val="ListBullet"/>
        <w:ind w:left="389" w:hanging="216"/>
      </w:pPr>
      <w:r>
        <w:t>Comparable student performance before and after the policy, including unaided transfer and citation accuracy.</w:t>
      </w:r>
    </w:p>
    <w:p>
      <w:pPr>
        <w:pStyle w:val="ListBullet"/>
        <w:ind w:left="389" w:hanging="216"/>
      </w:pPr>
      <w:r>
        <w:t>Campus-wide evidence connecting licensed AI access to durable learning, judgment, or wellness.</w:t>
      </w:r>
    </w:p>
    <w:p>
      <w:pPr>
        <w:spacing w:before="140" w:after="100"/>
      </w:pPr>
      <w:r>
        <w:rPr>
          <w:b/>
        </w:rPr>
        <w:t xml:space="preserve">Official sources  </w:t>
      </w:r>
      <w:hyperlink r:id="rId9">
        <w:r>
          <w:rPr>
            <w:color w:val="2B5370"/>
            <w:u w:val="single"/>
          </w:rPr>
          <w:t>Berkeley AI Hub</w:t>
        </w:r>
      </w:hyperlink>
      <w:r>
        <w:t xml:space="preserve">  |  </w:t>
      </w:r>
      <w:hyperlink r:id="rId10">
        <w:r>
          <w:rPr>
            <w:color w:val="2B5370"/>
            <w:u w:val="single"/>
          </w:rPr>
          <w:t>Teaching guidance</w:t>
        </w:r>
      </w:hyperlink>
      <w:r>
        <w:t xml:space="preserve">  |  </w:t>
      </w:r>
      <w:hyperlink r:id="rId11">
        <w:r>
          <w:rPr>
            <w:color w:val="2B5370"/>
            <w:u w:val="single"/>
          </w:rPr>
          <w:t>Berkeley Law AI policy</w:t>
        </w:r>
      </w:hyperlink>
    </w:p>
    <w:p>
      <w:pPr>
        <w:pStyle w:val="Heading1"/>
      </w:pPr>
      <w:r>
        <w:t>Case 2  UCLA</w:t>
      </w:r>
    </w:p>
    <w:tbl>
      <w:tblPr>
        <w:tblW w:type="auto" w:w="0"/>
        <w:jc w:val="center"/>
        <w:tblLayout w:type="fixed"/>
        <w:tblLook w:firstColumn="1" w:firstRow="1" w:lastColumn="0" w:lastRow="0" w:noHBand="0" w:noVBand="1" w:val="04A0"/>
        <w:tblBorders>
          <w:top w:val="single" w:sz="5" w:color="D3D9DD"/>
          <w:left w:val="single" w:sz="5" w:color="D3D9DD"/>
          <w:bottom w:val="single" w:sz="5" w:color="D3D9DD"/>
          <w:right w:val="single" w:sz="5" w:color="D3D9DD"/>
          <w:insideH w:val="single" w:sz="5" w:color="D3D9DD"/>
          <w:insideV w:val="single" w:sz="5" w:color="D3D9DD"/>
        </w:tblBorders>
      </w:tblPr>
      <w:tblGrid>
        <w:gridCol w:w="5141"/>
        <w:gridCol w:w="5141"/>
      </w:tblGrid>
      <w:tr>
        <w:trPr>
          <w:cantSplit/>
          <w:tblHeader w:val="true"/>
        </w:trPr>
        <w:tc>
          <w:tcPr>
            <w:tcW w:type="dxa" w:w="1944"/>
            <w:shd w:fill="173A52"/>
            <w:tcMar>
              <w:top w:w="70" w:type="dxa"/>
              <w:start w:w="85" w:type="dxa"/>
              <w:bottom w:w="70" w:type="dxa"/>
              <w:end w:w="85" w:type="dxa"/>
            </w:tcMar>
            <w:vAlign w:val="center"/>
          </w:tcPr>
          <w:p>
            <w:pPr>
              <w:jc w:val="left"/>
            </w:pPr>
            <w:r>
              <w:rPr>
                <w:b/>
                <w:color w:val="FFFFFF"/>
                <w:sz w:val="16"/>
              </w:rPr>
              <w:t>Field</w:t>
            </w:r>
          </w:p>
        </w:tc>
        <w:tc>
          <w:tcPr>
            <w:tcW w:type="dxa" w:w="8352"/>
            <w:shd w:fill="173A52"/>
            <w:tcMar>
              <w:top w:w="70" w:type="dxa"/>
              <w:start w:w="85" w:type="dxa"/>
              <w:bottom w:w="70" w:type="dxa"/>
              <w:end w:w="85" w:type="dxa"/>
            </w:tcMar>
            <w:vAlign w:val="center"/>
          </w:tcPr>
          <w:p>
            <w:pPr>
              <w:jc w:val="left"/>
            </w:pPr>
            <w:r>
              <w:rPr>
                <w:b/>
                <w:color w:val="FFFFFF"/>
                <w:sz w:val="16"/>
              </w:rPr>
              <w:t>Initial case record</w:t>
            </w:r>
          </w:p>
        </w:tc>
      </w:tr>
      <w:tr>
        <w:trPr>
          <w:cantSplit/>
        </w:trPr>
        <w:tc>
          <w:tcPr>
            <w:tcW w:type="dxa" w:w="1944"/>
            <w:tcMar>
              <w:top w:w="70" w:type="dxa"/>
              <w:start w:w="85" w:type="dxa"/>
              <w:bottom w:w="70" w:type="dxa"/>
              <w:end w:w="85" w:type="dxa"/>
            </w:tcMar>
            <w:vAlign w:val="center"/>
          </w:tcPr>
          <w:p>
            <w:pPr>
              <w:jc w:val="left"/>
            </w:pPr>
            <w:r>
              <w:rPr>
                <w:b/>
                <w:sz w:val="15"/>
              </w:rPr>
              <w:t>Institution</w:t>
            </w:r>
          </w:p>
        </w:tc>
        <w:tc>
          <w:tcPr>
            <w:tcW w:type="dxa" w:w="8352"/>
            <w:tcMar>
              <w:top w:w="70" w:type="dxa"/>
              <w:start w:w="85" w:type="dxa"/>
              <w:bottom w:w="70" w:type="dxa"/>
              <w:end w:w="85" w:type="dxa"/>
            </w:tcMar>
            <w:vAlign w:val="center"/>
          </w:tcPr>
          <w:p>
            <w:pPr>
              <w:jc w:val="left"/>
            </w:pPr>
            <w:r>
              <w:rPr>
                <w:sz w:val="15"/>
              </w:rPr>
              <w:t>Public research university</w:t>
            </w:r>
          </w:p>
        </w:tc>
      </w:tr>
      <w:tr>
        <w:trPr>
          <w:cantSplit/>
        </w:trPr>
        <w:tc>
          <w:tcPr>
            <w:tcW w:type="dxa" w:w="1944"/>
            <w:shd w:fill="F7F9FA"/>
            <w:tcMar>
              <w:top w:w="70" w:type="dxa"/>
              <w:start w:w="85" w:type="dxa"/>
              <w:bottom w:w="70" w:type="dxa"/>
              <w:end w:w="85" w:type="dxa"/>
            </w:tcMar>
            <w:vAlign w:val="center"/>
          </w:tcPr>
          <w:p>
            <w:pPr>
              <w:jc w:val="left"/>
            </w:pPr>
            <w:r>
              <w:rPr>
                <w:b/>
                <w:sz w:val="15"/>
              </w:rPr>
              <w:t>Review unit</w:t>
            </w:r>
          </w:p>
        </w:tc>
        <w:tc>
          <w:tcPr>
            <w:tcW w:type="dxa" w:w="8352"/>
            <w:shd w:fill="F7F9FA"/>
            <w:tcMar>
              <w:top w:w="70" w:type="dxa"/>
              <w:start w:w="85" w:type="dxa"/>
              <w:bottom w:w="70" w:type="dxa"/>
              <w:end w:w="85" w:type="dxa"/>
            </w:tcMar>
            <w:vAlign w:val="center"/>
          </w:tcPr>
          <w:p>
            <w:pPr>
              <w:jc w:val="left"/>
            </w:pPr>
            <w:r>
              <w:rPr>
                <w:sz w:val="15"/>
              </w:rPr>
              <w:t>Student AI Literacy Module and a Faculty Fellows course</w:t>
            </w:r>
          </w:p>
        </w:tc>
      </w:tr>
      <w:tr>
        <w:trPr>
          <w:cantSplit/>
        </w:trPr>
        <w:tc>
          <w:tcPr>
            <w:tcW w:type="dxa" w:w="1944"/>
            <w:tcMar>
              <w:top w:w="70" w:type="dxa"/>
              <w:start w:w="85" w:type="dxa"/>
              <w:bottom w:w="70" w:type="dxa"/>
              <w:end w:w="85" w:type="dxa"/>
            </w:tcMar>
            <w:vAlign w:val="center"/>
          </w:tcPr>
          <w:p>
            <w:pPr>
              <w:jc w:val="left"/>
            </w:pPr>
            <w:r>
              <w:rPr>
                <w:b/>
                <w:sz w:val="15"/>
              </w:rPr>
              <w:t>AI condition</w:t>
            </w:r>
          </w:p>
        </w:tc>
        <w:tc>
          <w:tcPr>
            <w:tcW w:type="dxa" w:w="8352"/>
            <w:tcMar>
              <w:top w:w="70" w:type="dxa"/>
              <w:start w:w="85" w:type="dxa"/>
              <w:bottom w:w="70" w:type="dxa"/>
              <w:end w:w="85" w:type="dxa"/>
            </w:tcMar>
            <w:vAlign w:val="center"/>
          </w:tcPr>
          <w:p>
            <w:pPr>
              <w:jc w:val="left"/>
            </w:pPr>
            <w:r>
              <w:rPr>
                <w:sz w:val="15"/>
              </w:rPr>
              <w:t>H1 and S1 at program level; course rule determines student use</w:t>
            </w:r>
          </w:p>
        </w:tc>
      </w:tr>
      <w:tr>
        <w:trPr>
          <w:cantSplit/>
        </w:trPr>
        <w:tc>
          <w:tcPr>
            <w:tcW w:type="dxa" w:w="1944"/>
            <w:shd w:fill="F7F9FA"/>
            <w:tcMar>
              <w:top w:w="70" w:type="dxa"/>
              <w:start w:w="85" w:type="dxa"/>
              <w:bottom w:w="70" w:type="dxa"/>
              <w:end w:w="85" w:type="dxa"/>
            </w:tcMar>
            <w:vAlign w:val="center"/>
          </w:tcPr>
          <w:p>
            <w:pPr>
              <w:jc w:val="left"/>
            </w:pPr>
            <w:r>
              <w:rPr>
                <w:b/>
                <w:sz w:val="15"/>
              </w:rPr>
              <w:t>Current status</w:t>
            </w:r>
          </w:p>
        </w:tc>
        <w:tc>
          <w:tcPr>
            <w:tcW w:type="dxa" w:w="8352"/>
            <w:shd w:fill="F7F9FA"/>
            <w:tcMar>
              <w:top w:w="70" w:type="dxa"/>
              <w:start w:w="85" w:type="dxa"/>
              <w:bottom w:w="70" w:type="dxa"/>
              <w:end w:w="85" w:type="dxa"/>
            </w:tcMar>
            <w:vAlign w:val="center"/>
          </w:tcPr>
          <w:p>
            <w:pPr>
              <w:jc w:val="left"/>
            </w:pPr>
            <w:r>
              <w:rPr>
                <w:sz w:val="15"/>
              </w:rPr>
              <w:t>Coherent institutional principles with incomplete outcome evidence</w:t>
            </w:r>
          </w:p>
        </w:tc>
      </w:tr>
    </w:tbl>
    <w:p>
      <w:pPr>
        <w:spacing w:after="0"/>
      </w:pPr>
    </w:p>
    <w:p>
      <w:pPr>
        <w:pStyle w:val="Heading2"/>
      </w:pPr>
      <w:r>
        <w:t>Initial finding</w:t>
      </w:r>
    </w:p>
    <w:p>
      <w:r>
        <w:t>UCLA has a clear institutional direction for AI in teaching. Its six principles cover equitable access, student literacy, faculty support, assessment integrity, faculty-driven innovation, and research-led adoption. The case is strongest as a paired review of the shared AI Literacy Module and one course redesigned through the Faculty Fellows program.</w:t>
      </w:r>
    </w:p>
    <w:p>
      <w:pPr>
        <w:pStyle w:val="Heading2"/>
      </w:pPr>
      <w:r>
        <w:t>Published rule and governance</w:t>
      </w:r>
    </w:p>
    <w:p>
      <w:r>
        <w:t>UCLA does not impose one uniform classroom permission rule. Instructors are expected to communicate what is allowed, limited, or prohibited. The central framework treats assessment integrity as a separate obligation and states that adoption decisions should be supported by research.</w:t>
      </w:r>
    </w:p>
    <w:p>
      <w:pPr>
        <w:pStyle w:val="Heading2"/>
      </w:pPr>
      <w:r>
        <w:t>Representative learning activity</w:t>
      </w:r>
    </w:p>
    <w:p>
      <w:r>
        <w:t>Follow students from the short Bruin Learn literacy module into a course with a documented AI assignment. Capture the module completion requirement, course policy, prompt, disclosure instruction, rubric, student reflection, and a comparable activity in a section where AI is limited or prohibited.</w:t>
      </w:r>
    </w:p>
    <w:p>
      <w:pPr>
        <w:pStyle w:val="Heading2"/>
      </w:pPr>
      <w:r>
        <w:t>Protected human performance</w:t>
      </w:r>
    </w:p>
    <w:p>
      <w:r>
        <w:t>Use a supervised written response or brief oral explanation after the AI-supported task. The student should identify errors, explain the governing concept, reconstruct the reasoning, and state which parts of the submitted work are personally authored.</w:t>
      </w:r>
    </w:p>
    <w:p>
      <w:pPr>
        <w:pStyle w:val="Heading2"/>
      </w:pPr>
      <w:r>
        <w:t>Significance for the well formed mind</w:t>
      </w:r>
    </w:p>
    <w:p>
      <w:r>
        <w:t>UCLA offers a strong test of whether shared literacy changes behavior beyond awareness. A well-formed-mind score should rise only if the module and course design produce better verification, authorship, and independent performance, not because training exists.</w:t>
      </w:r>
    </w:p>
    <w:p>
      <w:pPr>
        <w:pStyle w:val="Heading2"/>
      </w:pPr>
      <w:r>
        <w:t>COVID wellness and relationships</w:t>
      </w:r>
    </w:p>
    <w:p>
      <w:r>
        <w:t>Instructional-continuity records provide context for digital adoption, but a valid comparison needs local course or cohort data. Wellness analysis should include attention, workload, belonging, faculty contact, and whether AI use increases or reduces help-seeking from people.</w:t>
      </w:r>
    </w:p>
    <w:p>
      <w:pPr>
        <w:pStyle w:val="Heading2"/>
      </w:pPr>
      <w:r>
        <w:t>Evidence still needed</w:t>
      </w:r>
    </w:p>
    <w:p>
      <w:pPr>
        <w:pStyle w:val="ListBullet"/>
        <w:ind w:left="389" w:hanging="216"/>
      </w:pPr>
      <w:r>
        <w:t>Completion, retention, and behavioral effects of the AI Literacy Module.</w:t>
      </w:r>
    </w:p>
    <w:p>
      <w:pPr>
        <w:pStyle w:val="ListBullet"/>
        <w:ind w:left="389" w:hanging="216"/>
      </w:pPr>
      <w:r>
        <w:t>Representative course artifacts showing how the six principles change assessment design.</w:t>
      </w:r>
    </w:p>
    <w:p>
      <w:pPr>
        <w:pStyle w:val="ListBullet"/>
        <w:ind w:left="389" w:hanging="216"/>
      </w:pPr>
      <w:r>
        <w:t>Published results for unaided mastery, dependence, workload, and student well-being.</w:t>
      </w:r>
    </w:p>
    <w:p>
      <w:pPr>
        <w:spacing w:before="140" w:after="100"/>
      </w:pPr>
      <w:r>
        <w:rPr>
          <w:b/>
        </w:rPr>
        <w:t xml:space="preserve">Official sources  </w:t>
      </w:r>
      <w:hyperlink r:id="rId12">
        <w:r>
          <w:rPr>
            <w:color w:val="2B5370"/>
            <w:u w:val="single"/>
          </w:rPr>
          <w:t>AI in teaching and learning</w:t>
        </w:r>
      </w:hyperlink>
      <w:r>
        <w:t xml:space="preserve">  |  </w:t>
      </w:r>
      <w:hyperlink r:id="rId13">
        <w:r>
          <w:rPr>
            <w:color w:val="2B5370"/>
            <w:u w:val="single"/>
          </w:rPr>
          <w:t>Responsible use principles</w:t>
        </w:r>
      </w:hyperlink>
      <w:r>
        <w:t xml:space="preserve">  |  </w:t>
      </w:r>
      <w:hyperlink r:id="rId14">
        <w:r>
          <w:rPr>
            <w:color w:val="2B5370"/>
            <w:u w:val="single"/>
          </w:rPr>
          <w:t>Course policy guidance</w:t>
        </w:r>
      </w:hyperlink>
    </w:p>
    <w:p>
      <w:pPr>
        <w:pStyle w:val="Heading1"/>
      </w:pPr>
      <w:r>
        <w:t>Case 3  Stanford University</w:t>
      </w:r>
    </w:p>
    <w:tbl>
      <w:tblPr>
        <w:tblW w:type="auto" w:w="0"/>
        <w:jc w:val="center"/>
        <w:tblLayout w:type="fixed"/>
        <w:tblLook w:firstColumn="1" w:firstRow="1" w:lastColumn="0" w:lastRow="0" w:noHBand="0" w:noVBand="1" w:val="04A0"/>
        <w:tblBorders>
          <w:top w:val="single" w:sz="5" w:color="D3D9DD"/>
          <w:left w:val="single" w:sz="5" w:color="D3D9DD"/>
          <w:bottom w:val="single" w:sz="5" w:color="D3D9DD"/>
          <w:right w:val="single" w:sz="5" w:color="D3D9DD"/>
          <w:insideH w:val="single" w:sz="5" w:color="D3D9DD"/>
          <w:insideV w:val="single" w:sz="5" w:color="D3D9DD"/>
        </w:tblBorders>
      </w:tblPr>
      <w:tblGrid>
        <w:gridCol w:w="5141"/>
        <w:gridCol w:w="5141"/>
      </w:tblGrid>
      <w:tr>
        <w:trPr>
          <w:cantSplit/>
          <w:tblHeader w:val="true"/>
        </w:trPr>
        <w:tc>
          <w:tcPr>
            <w:tcW w:type="dxa" w:w="1944"/>
            <w:shd w:fill="173A52"/>
            <w:tcMar>
              <w:top w:w="70" w:type="dxa"/>
              <w:start w:w="85" w:type="dxa"/>
              <w:bottom w:w="70" w:type="dxa"/>
              <w:end w:w="85" w:type="dxa"/>
            </w:tcMar>
            <w:vAlign w:val="center"/>
          </w:tcPr>
          <w:p>
            <w:pPr>
              <w:jc w:val="left"/>
            </w:pPr>
            <w:r>
              <w:rPr>
                <w:b/>
                <w:color w:val="FFFFFF"/>
                <w:sz w:val="16"/>
              </w:rPr>
              <w:t>Field</w:t>
            </w:r>
          </w:p>
        </w:tc>
        <w:tc>
          <w:tcPr>
            <w:tcW w:type="dxa" w:w="8352"/>
            <w:shd w:fill="173A52"/>
            <w:tcMar>
              <w:top w:w="70" w:type="dxa"/>
              <w:start w:w="85" w:type="dxa"/>
              <w:bottom w:w="70" w:type="dxa"/>
              <w:end w:w="85" w:type="dxa"/>
            </w:tcMar>
            <w:vAlign w:val="center"/>
          </w:tcPr>
          <w:p>
            <w:pPr>
              <w:jc w:val="left"/>
            </w:pPr>
            <w:r>
              <w:rPr>
                <w:b/>
                <w:color w:val="FFFFFF"/>
                <w:sz w:val="16"/>
              </w:rPr>
              <w:t>Initial case record</w:t>
            </w:r>
          </w:p>
        </w:tc>
      </w:tr>
      <w:tr>
        <w:trPr>
          <w:cantSplit/>
        </w:trPr>
        <w:tc>
          <w:tcPr>
            <w:tcW w:type="dxa" w:w="1944"/>
            <w:tcMar>
              <w:top w:w="70" w:type="dxa"/>
              <w:start w:w="85" w:type="dxa"/>
              <w:bottom w:w="70" w:type="dxa"/>
              <w:end w:w="85" w:type="dxa"/>
            </w:tcMar>
            <w:vAlign w:val="center"/>
          </w:tcPr>
          <w:p>
            <w:pPr>
              <w:jc w:val="left"/>
            </w:pPr>
            <w:r>
              <w:rPr>
                <w:b/>
                <w:sz w:val="15"/>
              </w:rPr>
              <w:t>Institution</w:t>
            </w:r>
          </w:p>
        </w:tc>
        <w:tc>
          <w:tcPr>
            <w:tcW w:type="dxa" w:w="8352"/>
            <w:tcMar>
              <w:top w:w="70" w:type="dxa"/>
              <w:start w:w="85" w:type="dxa"/>
              <w:bottom w:w="70" w:type="dxa"/>
              <w:end w:w="85" w:type="dxa"/>
            </w:tcMar>
            <w:vAlign w:val="center"/>
          </w:tcPr>
          <w:p>
            <w:pPr>
              <w:jc w:val="left"/>
            </w:pPr>
            <w:r>
              <w:rPr>
                <w:sz w:val="15"/>
              </w:rPr>
              <w:t>Private research university</w:t>
            </w:r>
          </w:p>
        </w:tc>
      </w:tr>
      <w:tr>
        <w:trPr>
          <w:cantSplit/>
        </w:trPr>
        <w:tc>
          <w:tcPr>
            <w:tcW w:type="dxa" w:w="1944"/>
            <w:shd w:fill="F7F9FA"/>
            <w:tcMar>
              <w:top w:w="70" w:type="dxa"/>
              <w:start w:w="85" w:type="dxa"/>
              <w:bottom w:w="70" w:type="dxa"/>
              <w:end w:w="85" w:type="dxa"/>
            </w:tcMar>
            <w:vAlign w:val="center"/>
          </w:tcPr>
          <w:p>
            <w:pPr>
              <w:jc w:val="left"/>
            </w:pPr>
            <w:r>
              <w:rPr>
                <w:b/>
                <w:sz w:val="15"/>
              </w:rPr>
              <w:t>Review unit</w:t>
            </w:r>
          </w:p>
        </w:tc>
        <w:tc>
          <w:tcPr>
            <w:tcW w:type="dxa" w:w="8352"/>
            <w:shd w:fill="F7F9FA"/>
            <w:tcMar>
              <w:top w:w="70" w:type="dxa"/>
              <w:start w:w="85" w:type="dxa"/>
              <w:bottom w:w="70" w:type="dxa"/>
              <w:end w:w="85" w:type="dxa"/>
            </w:tcMar>
            <w:vAlign w:val="center"/>
          </w:tcPr>
          <w:p>
            <w:pPr>
              <w:jc w:val="left"/>
            </w:pPr>
            <w:r>
              <w:rPr>
                <w:sz w:val="15"/>
              </w:rPr>
              <w:t>COLLEGE 102 AI policy memo and proposed understanding checks</w:t>
            </w:r>
          </w:p>
        </w:tc>
      </w:tr>
      <w:tr>
        <w:trPr>
          <w:cantSplit/>
        </w:trPr>
        <w:tc>
          <w:tcPr>
            <w:tcW w:type="dxa" w:w="1944"/>
            <w:tcMar>
              <w:top w:w="70" w:type="dxa"/>
              <w:start w:w="85" w:type="dxa"/>
              <w:bottom w:w="70" w:type="dxa"/>
              <w:end w:w="85" w:type="dxa"/>
            </w:tcMar>
            <w:vAlign w:val="center"/>
          </w:tcPr>
          <w:p>
            <w:pPr>
              <w:jc w:val="left"/>
            </w:pPr>
            <w:r>
              <w:rPr>
                <w:b/>
                <w:sz w:val="15"/>
              </w:rPr>
              <w:t>AI condition</w:t>
            </w:r>
          </w:p>
        </w:tc>
        <w:tc>
          <w:tcPr>
            <w:tcW w:type="dxa" w:w="8352"/>
            <w:tcMar>
              <w:top w:w="70" w:type="dxa"/>
              <w:start w:w="85" w:type="dxa"/>
              <w:bottom w:w="70" w:type="dxa"/>
              <w:end w:w="85" w:type="dxa"/>
            </w:tcMar>
            <w:vAlign w:val="center"/>
          </w:tcPr>
          <w:p>
            <w:pPr>
              <w:jc w:val="left"/>
            </w:pPr>
            <w:r>
              <w:rPr>
                <w:sz w:val="15"/>
              </w:rPr>
              <w:t>S1 for inquiry and drafting; proposed H0 individual verification</w:t>
            </w:r>
          </w:p>
        </w:tc>
      </w:tr>
      <w:tr>
        <w:trPr>
          <w:cantSplit/>
        </w:trPr>
        <w:tc>
          <w:tcPr>
            <w:tcW w:type="dxa" w:w="1944"/>
            <w:shd w:fill="F7F9FA"/>
            <w:tcMar>
              <w:top w:w="70" w:type="dxa"/>
              <w:start w:w="85" w:type="dxa"/>
              <w:bottom w:w="70" w:type="dxa"/>
              <w:end w:w="85" w:type="dxa"/>
            </w:tcMar>
            <w:vAlign w:val="center"/>
          </w:tcPr>
          <w:p>
            <w:pPr>
              <w:jc w:val="left"/>
            </w:pPr>
            <w:r>
              <w:rPr>
                <w:b/>
                <w:sz w:val="15"/>
              </w:rPr>
              <w:t>Current status</w:t>
            </w:r>
          </w:p>
        </w:tc>
        <w:tc>
          <w:tcPr>
            <w:tcW w:type="dxa" w:w="8352"/>
            <w:shd w:fill="F7F9FA"/>
            <w:tcMar>
              <w:top w:w="70" w:type="dxa"/>
              <w:start w:w="85" w:type="dxa"/>
              <w:bottom w:w="70" w:type="dxa"/>
              <w:end w:w="85" w:type="dxa"/>
            </w:tcMar>
            <w:vAlign w:val="center"/>
          </w:tcPr>
          <w:p>
            <w:pPr>
              <w:jc w:val="left"/>
            </w:pPr>
            <w:r>
              <w:rPr>
                <w:sz w:val="15"/>
              </w:rPr>
              <w:t>Strong human-centered inquiry with verification still at proposal stage</w:t>
            </w:r>
          </w:p>
        </w:tc>
      </w:tr>
    </w:tbl>
    <w:p>
      <w:pPr>
        <w:spacing w:after="0"/>
      </w:pPr>
    </w:p>
    <w:p>
      <w:pPr>
        <w:pStyle w:val="Heading2"/>
      </w:pPr>
      <w:r>
        <w:t>Initial finding</w:t>
      </w:r>
    </w:p>
    <w:p>
      <w:r>
        <w:t>Stanford's COLLEGE 102 case makes students participants in AI governance. More than 1,200 first-year students wrote policy memos, deliberated across more than 70 sections, and proposed periodic individual understanding checks. The winning proposal reached university leadership, but Stanford states that it was not itself official policy.</w:t>
      </w:r>
    </w:p>
    <w:p>
      <w:pPr>
        <w:pStyle w:val="Heading2"/>
      </w:pPr>
      <w:r>
        <w:t>Published rule and governance</w:t>
      </w:r>
    </w:p>
    <w:p>
      <w:r>
        <w:t>Stanford generally leaves course permissions to instructors, subject to the Honor Code and clear disclosure. University guidance emphasizes human responsibility for checking AI output. The COLLEGE case addresses the weakness of relying on final products by proposing oral check-ins and supervised problem-solving.</w:t>
      </w:r>
    </w:p>
    <w:p>
      <w:pPr>
        <w:pStyle w:val="Heading2"/>
      </w:pPr>
      <w:r>
        <w:t>Representative learning activity</w:t>
      </w:r>
    </w:p>
    <w:p>
      <w:r>
        <w:t>Preserve the 350-word memo prompt, draft stages, section deliberation, voting process, final proposal, and any AI-use instruction. Examine whether students produced individual reasoning before group consolidation and whether the exercise changed later course behavior.</w:t>
      </w:r>
    </w:p>
    <w:p>
      <w:pPr>
        <w:pStyle w:val="Heading2"/>
      </w:pPr>
      <w:r>
        <w:t>Protected human performance</w:t>
      </w:r>
    </w:p>
    <w:p>
      <w:r>
        <w:t>Implement or study an individual understanding check tied to the memo. Each student should explain the policy's purpose, defend one tradeoff, answer an objection, and apply the rule to a new assessment scenario without AI.</w:t>
      </w:r>
    </w:p>
    <w:p>
      <w:pPr>
        <w:pStyle w:val="Heading2"/>
      </w:pPr>
      <w:r>
        <w:t>Significance for the well formed mind</w:t>
      </w:r>
    </w:p>
    <w:p>
      <w:r>
        <w:t>The case links AI governance to civic reasoning, persuasion, negotiation, and responsibility. It also exposes the difference between a good proposal and implemented protection. The scorecard should credit the assignment while withholding credit for outcomes that Stanford has not yet measured.</w:t>
      </w:r>
    </w:p>
    <w:p>
      <w:pPr>
        <w:pStyle w:val="Heading2"/>
      </w:pPr>
      <w:r>
        <w:t>COVID wellness and relationships</w:t>
      </w:r>
    </w:p>
    <w:p>
      <w:r>
        <w:t>The course emphasizes shared intellectual life and face-to-face deliberation, both relevant after pandemic disruption. Any wellness claim requires evidence on belonging, confidence, workload, and relationship quality rather than assuming discussion alone repairs prior isolation.</w:t>
      </w:r>
    </w:p>
    <w:p>
      <w:pPr>
        <w:pStyle w:val="Heading2"/>
      </w:pPr>
      <w:r>
        <w:t>Evidence still needed</w:t>
      </w:r>
    </w:p>
    <w:p>
      <w:pPr>
        <w:pStyle w:val="ListBullet"/>
        <w:ind w:left="389" w:hanging="216"/>
      </w:pPr>
      <w:r>
        <w:t>Whether understanding checks were adopted, where, and with what grading weight.</w:t>
      </w:r>
    </w:p>
    <w:p>
      <w:pPr>
        <w:pStyle w:val="ListBullet"/>
        <w:ind w:left="389" w:hanging="216"/>
      </w:pPr>
      <w:r>
        <w:t>Individual learning evidence separated from the quality of the group proposal.</w:t>
      </w:r>
    </w:p>
    <w:p>
      <w:pPr>
        <w:pStyle w:val="ListBullet"/>
        <w:ind w:left="389" w:hanging="216"/>
      </w:pPr>
      <w:r>
        <w:t>Longer-term effects on writing, AI dependence, civic agency, and trust.</w:t>
      </w:r>
    </w:p>
    <w:p>
      <w:pPr>
        <w:spacing w:before="140" w:after="100"/>
      </w:pPr>
      <w:r>
        <w:rPr>
          <w:b/>
        </w:rPr>
        <w:t xml:space="preserve">Official sources  </w:t>
      </w:r>
      <w:hyperlink r:id="rId15">
        <w:r>
          <w:rPr>
            <w:color w:val="2B5370"/>
            <w:u w:val="single"/>
          </w:rPr>
          <w:t>COLLEGE 102 report</w:t>
        </w:r>
      </w:hyperlink>
      <w:r>
        <w:t xml:space="preserve">  |  </w:t>
      </w:r>
      <w:hyperlink r:id="rId16">
        <w:r>
          <w:rPr>
            <w:color w:val="2B5370"/>
            <w:u w:val="single"/>
          </w:rPr>
          <w:t>Student AI learning guide</w:t>
        </w:r>
      </w:hyperlink>
      <w:r>
        <w:t xml:space="preserve">  |  </w:t>
      </w:r>
      <w:hyperlink r:id="rId17">
        <w:r>
          <w:rPr>
            <w:color w:val="2B5370"/>
            <w:u w:val="single"/>
          </w:rPr>
          <w:t>Course policy guidance</w:t>
        </w:r>
      </w:hyperlink>
    </w:p>
    <w:p>
      <w:pPr>
        <w:pStyle w:val="Heading1"/>
      </w:pPr>
      <w:r>
        <w:t>Case 4  University of Southern California</w:t>
      </w:r>
    </w:p>
    <w:tbl>
      <w:tblPr>
        <w:tblW w:type="auto" w:w="0"/>
        <w:jc w:val="center"/>
        <w:tblLayout w:type="fixed"/>
        <w:tblLook w:firstColumn="1" w:firstRow="1" w:lastColumn="0" w:lastRow="0" w:noHBand="0" w:noVBand="1" w:val="04A0"/>
        <w:tblBorders>
          <w:top w:val="single" w:sz="5" w:color="D3D9DD"/>
          <w:left w:val="single" w:sz="5" w:color="D3D9DD"/>
          <w:bottom w:val="single" w:sz="5" w:color="D3D9DD"/>
          <w:right w:val="single" w:sz="5" w:color="D3D9DD"/>
          <w:insideH w:val="single" w:sz="5" w:color="D3D9DD"/>
          <w:insideV w:val="single" w:sz="5" w:color="D3D9DD"/>
        </w:tblBorders>
      </w:tblPr>
      <w:tblGrid>
        <w:gridCol w:w="5141"/>
        <w:gridCol w:w="5141"/>
      </w:tblGrid>
      <w:tr>
        <w:trPr>
          <w:cantSplit/>
          <w:tblHeader w:val="true"/>
        </w:trPr>
        <w:tc>
          <w:tcPr>
            <w:tcW w:type="dxa" w:w="1944"/>
            <w:shd w:fill="173A52"/>
            <w:tcMar>
              <w:top w:w="70" w:type="dxa"/>
              <w:start w:w="85" w:type="dxa"/>
              <w:bottom w:w="70" w:type="dxa"/>
              <w:end w:w="85" w:type="dxa"/>
            </w:tcMar>
            <w:vAlign w:val="center"/>
          </w:tcPr>
          <w:p>
            <w:pPr>
              <w:jc w:val="left"/>
            </w:pPr>
            <w:r>
              <w:rPr>
                <w:b/>
                <w:color w:val="FFFFFF"/>
                <w:sz w:val="16"/>
              </w:rPr>
              <w:t>Field</w:t>
            </w:r>
          </w:p>
        </w:tc>
        <w:tc>
          <w:tcPr>
            <w:tcW w:type="dxa" w:w="8352"/>
            <w:shd w:fill="173A52"/>
            <w:tcMar>
              <w:top w:w="70" w:type="dxa"/>
              <w:start w:w="85" w:type="dxa"/>
              <w:bottom w:w="70" w:type="dxa"/>
              <w:end w:w="85" w:type="dxa"/>
            </w:tcMar>
            <w:vAlign w:val="center"/>
          </w:tcPr>
          <w:p>
            <w:pPr>
              <w:jc w:val="left"/>
            </w:pPr>
            <w:r>
              <w:rPr>
                <w:b/>
                <w:color w:val="FFFFFF"/>
                <w:sz w:val="16"/>
              </w:rPr>
              <w:t>Initial case record</w:t>
            </w:r>
          </w:p>
        </w:tc>
      </w:tr>
      <w:tr>
        <w:trPr>
          <w:cantSplit/>
        </w:trPr>
        <w:tc>
          <w:tcPr>
            <w:tcW w:type="dxa" w:w="1944"/>
            <w:tcMar>
              <w:top w:w="70" w:type="dxa"/>
              <w:start w:w="85" w:type="dxa"/>
              <w:bottom w:w="70" w:type="dxa"/>
              <w:end w:w="85" w:type="dxa"/>
            </w:tcMar>
            <w:vAlign w:val="center"/>
          </w:tcPr>
          <w:p>
            <w:pPr>
              <w:jc w:val="left"/>
            </w:pPr>
            <w:r>
              <w:rPr>
                <w:b/>
                <w:sz w:val="15"/>
              </w:rPr>
              <w:t>Institution</w:t>
            </w:r>
          </w:p>
        </w:tc>
        <w:tc>
          <w:tcPr>
            <w:tcW w:type="dxa" w:w="8352"/>
            <w:tcMar>
              <w:top w:w="70" w:type="dxa"/>
              <w:start w:w="85" w:type="dxa"/>
              <w:bottom w:w="70" w:type="dxa"/>
              <w:end w:w="85" w:type="dxa"/>
            </w:tcMar>
            <w:vAlign w:val="center"/>
          </w:tcPr>
          <w:p>
            <w:pPr>
              <w:jc w:val="left"/>
            </w:pPr>
            <w:r>
              <w:rPr>
                <w:sz w:val="15"/>
              </w:rPr>
              <w:t>Private research university</w:t>
            </w:r>
          </w:p>
        </w:tc>
      </w:tr>
      <w:tr>
        <w:trPr>
          <w:cantSplit/>
        </w:trPr>
        <w:tc>
          <w:tcPr>
            <w:tcW w:type="dxa" w:w="1944"/>
            <w:shd w:fill="F7F9FA"/>
            <w:tcMar>
              <w:top w:w="70" w:type="dxa"/>
              <w:start w:w="85" w:type="dxa"/>
              <w:bottom w:w="70" w:type="dxa"/>
              <w:end w:w="85" w:type="dxa"/>
            </w:tcMar>
            <w:vAlign w:val="center"/>
          </w:tcPr>
          <w:p>
            <w:pPr>
              <w:jc w:val="left"/>
            </w:pPr>
            <w:r>
              <w:rPr>
                <w:b/>
                <w:sz w:val="15"/>
              </w:rPr>
              <w:t>Review unit</w:t>
            </w:r>
          </w:p>
        </w:tc>
        <w:tc>
          <w:tcPr>
            <w:tcW w:type="dxa" w:w="8352"/>
            <w:shd w:fill="F7F9FA"/>
            <w:tcMar>
              <w:top w:w="70" w:type="dxa"/>
              <w:start w:w="85" w:type="dxa"/>
              <w:bottom w:w="70" w:type="dxa"/>
              <w:end w:w="85" w:type="dxa"/>
            </w:tcMar>
            <w:vAlign w:val="center"/>
          </w:tcPr>
          <w:p>
            <w:pPr>
              <w:jc w:val="left"/>
            </w:pPr>
            <w:r>
              <w:rPr>
                <w:sz w:val="15"/>
              </w:rPr>
              <w:t>ChatGPT Edu rollout and one course with a disclosed AI workflow</w:t>
            </w:r>
          </w:p>
        </w:tc>
      </w:tr>
      <w:tr>
        <w:trPr>
          <w:cantSplit/>
        </w:trPr>
        <w:tc>
          <w:tcPr>
            <w:tcW w:type="dxa" w:w="1944"/>
            <w:tcMar>
              <w:top w:w="70" w:type="dxa"/>
              <w:start w:w="85" w:type="dxa"/>
              <w:bottom w:w="70" w:type="dxa"/>
              <w:end w:w="85" w:type="dxa"/>
            </w:tcMar>
            <w:vAlign w:val="center"/>
          </w:tcPr>
          <w:p>
            <w:pPr>
              <w:jc w:val="left"/>
            </w:pPr>
            <w:r>
              <w:rPr>
                <w:b/>
                <w:sz w:val="15"/>
              </w:rPr>
              <w:t>AI condition</w:t>
            </w:r>
          </w:p>
        </w:tc>
        <w:tc>
          <w:tcPr>
            <w:tcW w:type="dxa" w:w="8352"/>
            <w:tcMar>
              <w:top w:w="70" w:type="dxa"/>
              <w:start w:w="85" w:type="dxa"/>
              <w:bottom w:w="70" w:type="dxa"/>
              <w:end w:w="85" w:type="dxa"/>
            </w:tcMar>
            <w:vAlign w:val="center"/>
          </w:tcPr>
          <w:p>
            <w:pPr>
              <w:jc w:val="left"/>
            </w:pPr>
            <w:r>
              <w:rPr>
                <w:sz w:val="15"/>
              </w:rPr>
              <w:t>Secure S1 where faculty permit use; H0 where course policy prohibits it</w:t>
            </w:r>
          </w:p>
        </w:tc>
      </w:tr>
      <w:tr>
        <w:trPr>
          <w:cantSplit/>
        </w:trPr>
        <w:tc>
          <w:tcPr>
            <w:tcW w:type="dxa" w:w="1944"/>
            <w:shd w:fill="F7F9FA"/>
            <w:tcMar>
              <w:top w:w="70" w:type="dxa"/>
              <w:start w:w="85" w:type="dxa"/>
              <w:bottom w:w="70" w:type="dxa"/>
              <w:end w:w="85" w:type="dxa"/>
            </w:tcMar>
            <w:vAlign w:val="center"/>
          </w:tcPr>
          <w:p>
            <w:pPr>
              <w:jc w:val="left"/>
            </w:pPr>
            <w:r>
              <w:rPr>
                <w:b/>
                <w:sz w:val="15"/>
              </w:rPr>
              <w:t>Current status</w:t>
            </w:r>
          </w:p>
        </w:tc>
        <w:tc>
          <w:tcPr>
            <w:tcW w:type="dxa" w:w="8352"/>
            <w:shd w:fill="F7F9FA"/>
            <w:tcMar>
              <w:top w:w="70" w:type="dxa"/>
              <w:start w:w="85" w:type="dxa"/>
              <w:bottom w:w="70" w:type="dxa"/>
              <w:end w:w="85" w:type="dxa"/>
            </w:tcMar>
            <w:vAlign w:val="center"/>
          </w:tcPr>
          <w:p>
            <w:pPr>
              <w:jc w:val="left"/>
            </w:pPr>
            <w:r>
              <w:rPr>
                <w:sz w:val="15"/>
              </w:rPr>
              <w:t>Broad protected access with formation dependent on course design</w:t>
            </w:r>
          </w:p>
        </w:tc>
      </w:tr>
    </w:tbl>
    <w:p>
      <w:pPr>
        <w:spacing w:after="0"/>
      </w:pPr>
    </w:p>
    <w:p>
      <w:pPr>
        <w:pStyle w:val="Heading2"/>
      </w:pPr>
      <w:r>
        <w:t>Initial finding</w:t>
      </w:r>
    </w:p>
    <w:p>
      <w:r>
        <w:t>USC's spring 2026 ChatGPT Edu rollout creates a university-scale test of equitable, institutionally managed access. Faculty retain authority over course use. The case file should therefore examine one actual course workflow rather than treating account availability as evidence of learning.</w:t>
      </w:r>
    </w:p>
    <w:p>
      <w:pPr>
        <w:pStyle w:val="Heading2"/>
      </w:pPr>
      <w:r>
        <w:t>Published rule and governance</w:t>
      </w:r>
    </w:p>
    <w:p>
      <w:r>
        <w:t>USC guidance places ChatGPT Edu within existing academic-integrity, privacy, and course-policy requirements. Faculty are expected to state what students may do, and students remain responsible for submitted work. The protected environment improves data governance but does not by itself establish valid authorship or learning.</w:t>
      </w:r>
    </w:p>
    <w:p>
      <w:pPr>
        <w:pStyle w:val="Heading2"/>
      </w:pPr>
      <w:r>
        <w:t>Representative learning activity</w:t>
      </w:r>
    </w:p>
    <w:p>
      <w:r>
        <w:t>Select one general-education or professional course that uses ChatGPT Edu for feedback, comparison, research, or revision. Archive the prompt, required disclosure, tool settings, source-verification step, draft sequence, and the instructor's explanation of the learning purpose.</w:t>
      </w:r>
    </w:p>
    <w:p>
      <w:pPr>
        <w:pStyle w:val="Heading2"/>
      </w:pPr>
      <w:r>
        <w:t>Protected human performance</w:t>
      </w:r>
    </w:p>
    <w:p>
      <w:r>
        <w:t>Require a short, individual in-person performance after the AI-supported assignment. The student should reproduce the core reasoning, correct one flawed output, identify sources, and explain how the final submission changed from the AI response.</w:t>
      </w:r>
    </w:p>
    <w:p>
      <w:pPr>
        <w:pStyle w:val="Heading2"/>
      </w:pPr>
      <w:r>
        <w:t>Significance for the well formed mind</w:t>
      </w:r>
    </w:p>
    <w:p>
      <w:r>
        <w:t>USC tests whether secure access can be joined to strong pedagogy at scale. The investigation should distinguish procurement success from education and should compare AI-plus-faculty support with access to the tool alone.</w:t>
      </w:r>
    </w:p>
    <w:p>
      <w:pPr>
        <w:pStyle w:val="Heading2"/>
      </w:pPr>
      <w:r>
        <w:t>COVID wellness and relationships</w:t>
      </w:r>
    </w:p>
    <w:p>
      <w:r>
        <w:t>USC's extensive remote-teaching experience is relevant background. The case should document whether ChatGPT Edu changes faculty contact, office-hour use, workload, belonging, or student confidence, while controlling for prior remote-learning exposure where feasible.</w:t>
      </w:r>
    </w:p>
    <w:p>
      <w:pPr>
        <w:pStyle w:val="Heading2"/>
      </w:pPr>
      <w:r>
        <w:t>Evidence still needed</w:t>
      </w:r>
    </w:p>
    <w:p>
      <w:pPr>
        <w:pStyle w:val="ListBullet"/>
        <w:ind w:left="389" w:hanging="216"/>
      </w:pPr>
      <w:r>
        <w:t>Course-level adoption rates and the distribution of H0, S1, and S2 rules.</w:t>
      </w:r>
    </w:p>
    <w:p>
      <w:pPr>
        <w:pStyle w:val="ListBullet"/>
        <w:ind w:left="389" w:hanging="216"/>
      </w:pPr>
      <w:r>
        <w:t>Evidence that the protected tool changes unaided learning, authorship, or faculty-student interaction.</w:t>
      </w:r>
    </w:p>
    <w:p>
      <w:pPr>
        <w:pStyle w:val="ListBullet"/>
        <w:ind w:left="389" w:hanging="216"/>
      </w:pPr>
      <w:r>
        <w:t>Independent review of student privacy, accessibility, and opt-out alternatives in required uses.</w:t>
      </w:r>
    </w:p>
    <w:p>
      <w:pPr>
        <w:spacing w:before="140" w:after="100"/>
      </w:pPr>
      <w:r>
        <w:rPr>
          <w:b/>
        </w:rPr>
        <w:t xml:space="preserve">Official sources  </w:t>
      </w:r>
      <w:hyperlink r:id="rId18">
        <w:r>
          <w:rPr>
            <w:color w:val="2B5370"/>
            <w:u w:val="single"/>
          </w:rPr>
          <w:t>Provost rollout guidance</w:t>
        </w:r>
      </w:hyperlink>
      <w:r>
        <w:t xml:space="preserve">  |  </w:t>
      </w:r>
      <w:hyperlink r:id="rId19">
        <w:r>
          <w:rPr>
            <w:color w:val="2B5370"/>
            <w:u w:val="single"/>
          </w:rPr>
          <w:t>ChatGPT Edu at USC</w:t>
        </w:r>
      </w:hyperlink>
      <w:r>
        <w:t xml:space="preserve">  |  </w:t>
      </w:r>
      <w:hyperlink r:id="rId20">
        <w:r>
          <w:rPr>
            <w:color w:val="2B5370"/>
            <w:u w:val="single"/>
          </w:rPr>
          <w:t>Academic integrity guidance</w:t>
        </w:r>
      </w:hyperlink>
    </w:p>
    <w:p>
      <w:pPr>
        <w:pStyle w:val="Heading1"/>
      </w:pPr>
      <w:r>
        <w:t>Case 5  California Institute of Technology</w:t>
      </w:r>
    </w:p>
    <w:tbl>
      <w:tblPr>
        <w:tblW w:type="auto" w:w="0"/>
        <w:jc w:val="center"/>
        <w:tblLayout w:type="fixed"/>
        <w:tblLook w:firstColumn="1" w:firstRow="1" w:lastColumn="0" w:lastRow="0" w:noHBand="0" w:noVBand="1" w:val="04A0"/>
        <w:tblBorders>
          <w:top w:val="single" w:sz="5" w:color="D3D9DD"/>
          <w:left w:val="single" w:sz="5" w:color="D3D9DD"/>
          <w:bottom w:val="single" w:sz="5" w:color="D3D9DD"/>
          <w:right w:val="single" w:sz="5" w:color="D3D9DD"/>
          <w:insideH w:val="single" w:sz="5" w:color="D3D9DD"/>
          <w:insideV w:val="single" w:sz="5" w:color="D3D9DD"/>
        </w:tblBorders>
      </w:tblPr>
      <w:tblGrid>
        <w:gridCol w:w="5141"/>
        <w:gridCol w:w="5141"/>
      </w:tblGrid>
      <w:tr>
        <w:trPr>
          <w:cantSplit/>
          <w:tblHeader w:val="true"/>
        </w:trPr>
        <w:tc>
          <w:tcPr>
            <w:tcW w:type="dxa" w:w="1944"/>
            <w:shd w:fill="173A52"/>
            <w:tcMar>
              <w:top w:w="70" w:type="dxa"/>
              <w:start w:w="85" w:type="dxa"/>
              <w:bottom w:w="70" w:type="dxa"/>
              <w:end w:w="85" w:type="dxa"/>
            </w:tcMar>
            <w:vAlign w:val="center"/>
          </w:tcPr>
          <w:p>
            <w:pPr>
              <w:jc w:val="left"/>
            </w:pPr>
            <w:r>
              <w:rPr>
                <w:b/>
                <w:color w:val="FFFFFF"/>
                <w:sz w:val="16"/>
              </w:rPr>
              <w:t>Field</w:t>
            </w:r>
          </w:p>
        </w:tc>
        <w:tc>
          <w:tcPr>
            <w:tcW w:type="dxa" w:w="8352"/>
            <w:shd w:fill="173A52"/>
            <w:tcMar>
              <w:top w:w="70" w:type="dxa"/>
              <w:start w:w="85" w:type="dxa"/>
              <w:bottom w:w="70" w:type="dxa"/>
              <w:end w:w="85" w:type="dxa"/>
            </w:tcMar>
            <w:vAlign w:val="center"/>
          </w:tcPr>
          <w:p>
            <w:pPr>
              <w:jc w:val="left"/>
            </w:pPr>
            <w:r>
              <w:rPr>
                <w:b/>
                <w:color w:val="FFFFFF"/>
                <w:sz w:val="16"/>
              </w:rPr>
              <w:t>Initial case record</w:t>
            </w:r>
          </w:p>
        </w:tc>
      </w:tr>
      <w:tr>
        <w:trPr>
          <w:cantSplit/>
        </w:trPr>
        <w:tc>
          <w:tcPr>
            <w:tcW w:type="dxa" w:w="1944"/>
            <w:tcMar>
              <w:top w:w="70" w:type="dxa"/>
              <w:start w:w="85" w:type="dxa"/>
              <w:bottom w:w="70" w:type="dxa"/>
              <w:end w:w="85" w:type="dxa"/>
            </w:tcMar>
            <w:vAlign w:val="center"/>
          </w:tcPr>
          <w:p>
            <w:pPr>
              <w:jc w:val="left"/>
            </w:pPr>
            <w:r>
              <w:rPr>
                <w:b/>
                <w:sz w:val="15"/>
              </w:rPr>
              <w:t>Institution</w:t>
            </w:r>
          </w:p>
        </w:tc>
        <w:tc>
          <w:tcPr>
            <w:tcW w:type="dxa" w:w="8352"/>
            <w:tcMar>
              <w:top w:w="70" w:type="dxa"/>
              <w:start w:w="85" w:type="dxa"/>
              <w:bottom w:w="70" w:type="dxa"/>
              <w:end w:w="85" w:type="dxa"/>
            </w:tcMar>
            <w:vAlign w:val="center"/>
          </w:tcPr>
          <w:p>
            <w:pPr>
              <w:jc w:val="left"/>
            </w:pPr>
            <w:r>
              <w:rPr>
                <w:sz w:val="15"/>
              </w:rPr>
              <w:t>Private research university</w:t>
            </w:r>
          </w:p>
        </w:tc>
      </w:tr>
      <w:tr>
        <w:trPr>
          <w:cantSplit/>
        </w:trPr>
        <w:tc>
          <w:tcPr>
            <w:tcW w:type="dxa" w:w="1944"/>
            <w:shd w:fill="F7F9FA"/>
            <w:tcMar>
              <w:top w:w="70" w:type="dxa"/>
              <w:start w:w="85" w:type="dxa"/>
              <w:bottom w:w="70" w:type="dxa"/>
              <w:end w:w="85" w:type="dxa"/>
            </w:tcMar>
            <w:vAlign w:val="center"/>
          </w:tcPr>
          <w:p>
            <w:pPr>
              <w:jc w:val="left"/>
            </w:pPr>
            <w:r>
              <w:rPr>
                <w:b/>
                <w:sz w:val="15"/>
              </w:rPr>
              <w:t>Review unit</w:t>
            </w:r>
          </w:p>
        </w:tc>
        <w:tc>
          <w:tcPr>
            <w:tcW w:type="dxa" w:w="8352"/>
            <w:shd w:fill="F7F9FA"/>
            <w:tcMar>
              <w:top w:w="70" w:type="dxa"/>
              <w:start w:w="85" w:type="dxa"/>
              <w:bottom w:w="70" w:type="dxa"/>
              <w:end w:w="85" w:type="dxa"/>
            </w:tcMar>
            <w:vAlign w:val="center"/>
          </w:tcPr>
          <w:p>
            <w:pPr>
              <w:jc w:val="left"/>
            </w:pPr>
            <w:r>
              <w:rPr>
                <w:sz w:val="15"/>
              </w:rPr>
              <w:t>Ethics and AI writing sequence with division and data safeguards</w:t>
            </w:r>
          </w:p>
        </w:tc>
      </w:tr>
      <w:tr>
        <w:trPr>
          <w:cantSplit/>
        </w:trPr>
        <w:tc>
          <w:tcPr>
            <w:tcW w:type="dxa" w:w="1944"/>
            <w:tcMar>
              <w:top w:w="70" w:type="dxa"/>
              <w:start w:w="85" w:type="dxa"/>
              <w:bottom w:w="70" w:type="dxa"/>
              <w:end w:w="85" w:type="dxa"/>
            </w:tcMar>
            <w:vAlign w:val="center"/>
          </w:tcPr>
          <w:p>
            <w:pPr>
              <w:jc w:val="left"/>
            </w:pPr>
            <w:r>
              <w:rPr>
                <w:b/>
                <w:sz w:val="15"/>
              </w:rPr>
              <w:t>AI condition</w:t>
            </w:r>
          </w:p>
        </w:tc>
        <w:tc>
          <w:tcPr>
            <w:tcW w:type="dxa" w:w="8352"/>
            <w:tcMar>
              <w:top w:w="70" w:type="dxa"/>
              <w:start w:w="85" w:type="dxa"/>
              <w:bottom w:w="70" w:type="dxa"/>
              <w:end w:w="85" w:type="dxa"/>
            </w:tcMar>
            <w:vAlign w:val="center"/>
          </w:tcPr>
          <w:p>
            <w:pPr>
              <w:jc w:val="left"/>
            </w:pPr>
            <w:r>
              <w:rPr>
                <w:sz w:val="15"/>
              </w:rPr>
              <w:t>Course-specific H0 or S1 under disclosure and security rules</w:t>
            </w:r>
          </w:p>
        </w:tc>
      </w:tr>
      <w:tr>
        <w:trPr>
          <w:cantSplit/>
        </w:trPr>
        <w:tc>
          <w:tcPr>
            <w:tcW w:type="dxa" w:w="1944"/>
            <w:shd w:fill="F7F9FA"/>
            <w:tcMar>
              <w:top w:w="70" w:type="dxa"/>
              <w:start w:w="85" w:type="dxa"/>
              <w:bottom w:w="70" w:type="dxa"/>
              <w:end w:w="85" w:type="dxa"/>
            </w:tcMar>
            <w:vAlign w:val="center"/>
          </w:tcPr>
          <w:p>
            <w:pPr>
              <w:jc w:val="left"/>
            </w:pPr>
            <w:r>
              <w:rPr>
                <w:b/>
                <w:sz w:val="15"/>
              </w:rPr>
              <w:t>Current status</w:t>
            </w:r>
          </w:p>
        </w:tc>
        <w:tc>
          <w:tcPr>
            <w:tcW w:type="dxa" w:w="8352"/>
            <w:shd w:fill="F7F9FA"/>
            <w:tcMar>
              <w:top w:w="70" w:type="dxa"/>
              <w:start w:w="85" w:type="dxa"/>
              <w:bottom w:w="70" w:type="dxa"/>
              <w:end w:w="85" w:type="dxa"/>
            </w:tcMar>
            <w:vAlign w:val="center"/>
          </w:tcPr>
          <w:p>
            <w:pPr>
              <w:jc w:val="left"/>
            </w:pPr>
            <w:r>
              <w:rPr>
                <w:sz w:val="15"/>
              </w:rPr>
              <w:t>Strong task-level guidance with careful trust and privacy protections</w:t>
            </w:r>
          </w:p>
        </w:tc>
      </w:tr>
    </w:tbl>
    <w:p>
      <w:pPr>
        <w:spacing w:after="0"/>
      </w:pPr>
    </w:p>
    <w:p>
      <w:pPr>
        <w:pStyle w:val="Heading2"/>
      </w:pPr>
      <w:r>
        <w:t>Initial finding</w:t>
      </w:r>
    </w:p>
    <w:p>
      <w:r>
        <w:t>Caltech provides one of the clearest links between AI use, writing, trust, and assessment. Institute guidance requires disclosure, protection of confidential data, responsibility for accuracy, and compliance with the Honor Code. Humanities and Social Sciences treats unapproved use as disallowed, while central teaching guidance strongly discourages unreliable AI detectors.</w:t>
      </w:r>
    </w:p>
    <w:p>
      <w:pPr>
        <w:pStyle w:val="Heading2"/>
      </w:pPr>
      <w:r>
        <w:t>Published rule and governance</w:t>
      </w:r>
    </w:p>
    <w:p>
      <w:r>
        <w:t>Consumer AI tools may not receive restricted or confidential Caltech information. Institutional work should use managed, contract-approved, or single-sign-on protected tools. In coursework, the instructor or division rule controls. Caltech also warns that detector errors can damage trust, privacy, and fairness.</w:t>
      </w:r>
    </w:p>
    <w:p>
      <w:pPr>
        <w:pStyle w:val="Heading2"/>
      </w:pPr>
      <w:r>
        <w:t>Representative learning activity</w:t>
      </w:r>
    </w:p>
    <w:p>
      <w:r>
        <w:t>Use the published Ethics and AI course case or a comparable first-year writing course. Preserve the initial human draft, any permitted AI exchange, disclosure, source verification, instructor conference, revision, and final reflection on voice and responsibility.</w:t>
      </w:r>
    </w:p>
    <w:p>
      <w:pPr>
        <w:pStyle w:val="Heading2"/>
      </w:pPr>
      <w:r>
        <w:t>Protected human performance</w:t>
      </w:r>
    </w:p>
    <w:p>
      <w:r>
        <w:t>Compare the final paper with an in-class analytical paragraph, oral conference, or proctored examination. The protected task should test argument structure, evidence, ethical reasoning, and the student's ability to recognize fabricated or misleading content.</w:t>
      </w:r>
    </w:p>
    <w:p>
      <w:pPr>
        <w:pStyle w:val="Heading2"/>
      </w:pPr>
      <w:r>
        <w:t>Significance for the well formed mind</w:t>
      </w:r>
    </w:p>
    <w:p>
      <w:r>
        <w:t>Caltech's strongest contribution is its protection of the relationship between trust and learning. Its rejection of detector-only enforcement avoids substituting an unreliable technical score for human judgment. The remaining question is whether the course designs improve durable performance.</w:t>
      </w:r>
    </w:p>
    <w:p>
      <w:pPr>
        <w:pStyle w:val="Heading2"/>
      </w:pPr>
      <w:r>
        <w:t>COVID wellness and relationships</w:t>
      </w:r>
    </w:p>
    <w:p>
      <w:r>
        <w:t>The public case record does not establish a comparable pre-COVID through AI-era outcome series. Review should include attention, trust, faculty contact, workload, and the effect of proctored or oral assessment on stress and belonging.</w:t>
      </w:r>
    </w:p>
    <w:p>
      <w:pPr>
        <w:pStyle w:val="Heading2"/>
      </w:pPr>
      <w:r>
        <w:t>Evidence still needed</w:t>
      </w:r>
    </w:p>
    <w:p>
      <w:pPr>
        <w:pStyle w:val="ListBullet"/>
        <w:ind w:left="389" w:hanging="216"/>
      </w:pPr>
      <w:r>
        <w:t>Representative implementation outside Humanities and Social Sciences.</w:t>
      </w:r>
    </w:p>
    <w:p>
      <w:pPr>
        <w:pStyle w:val="ListBullet"/>
        <w:ind w:left="389" w:hanging="216"/>
      </w:pPr>
      <w:r>
        <w:t>Transfer from AI-supported writing to unaided scientific, mathematical, coding, and prose work.</w:t>
      </w:r>
    </w:p>
    <w:p>
      <w:pPr>
        <w:pStyle w:val="ListBullet"/>
        <w:ind w:left="389" w:hanging="216"/>
      </w:pPr>
      <w:r>
        <w:t>Student experience with disclosure, protected tools, proctoring, and detector restrictions.</w:t>
      </w:r>
    </w:p>
    <w:p>
      <w:pPr>
        <w:spacing w:before="140" w:after="100"/>
      </w:pPr>
      <w:r>
        <w:rPr>
          <w:b/>
        </w:rPr>
        <w:t xml:space="preserve">Official sources  </w:t>
      </w:r>
      <w:hyperlink r:id="rId21">
        <w:r>
          <w:rPr>
            <w:color w:val="2B5370"/>
            <w:u w:val="single"/>
          </w:rPr>
          <w:t>Institute AI guidance</w:t>
        </w:r>
      </w:hyperlink>
      <w:r>
        <w:t xml:space="preserve">  |  </w:t>
      </w:r>
      <w:hyperlink r:id="rId22">
        <w:r>
          <w:rPr>
            <w:color w:val="2B5370"/>
            <w:u w:val="single"/>
          </w:rPr>
          <w:t>AI in teaching</w:t>
        </w:r>
      </w:hyperlink>
      <w:r>
        <w:t xml:space="preserve">  |  </w:t>
      </w:r>
      <w:hyperlink r:id="rId23">
        <w:r>
          <w:rPr>
            <w:color w:val="2B5370"/>
            <w:u w:val="single"/>
          </w:rPr>
          <w:t>HSS policy</w:t>
        </w:r>
      </w:hyperlink>
      <w:r>
        <w:t xml:space="preserve">  |  </w:t>
      </w:r>
      <w:hyperlink r:id="rId24">
        <w:r>
          <w:rPr>
            <w:color w:val="2B5370"/>
            <w:u w:val="single"/>
          </w:rPr>
          <w:t>Ethics and AI course</w:t>
        </w:r>
      </w:hyperlink>
    </w:p>
    <w:p>
      <w:pPr>
        <w:pStyle w:val="Heading1"/>
      </w:pPr>
      <w:r>
        <w:t>Case 6  Loyola Marymount University</w:t>
      </w:r>
    </w:p>
    <w:tbl>
      <w:tblPr>
        <w:tblW w:type="auto" w:w="0"/>
        <w:jc w:val="center"/>
        <w:tblLayout w:type="fixed"/>
        <w:tblLook w:firstColumn="1" w:firstRow="1" w:lastColumn="0" w:lastRow="0" w:noHBand="0" w:noVBand="1" w:val="04A0"/>
        <w:tblBorders>
          <w:top w:val="single" w:sz="5" w:color="D3D9DD"/>
          <w:left w:val="single" w:sz="5" w:color="D3D9DD"/>
          <w:bottom w:val="single" w:sz="5" w:color="D3D9DD"/>
          <w:right w:val="single" w:sz="5" w:color="D3D9DD"/>
          <w:insideH w:val="single" w:sz="5" w:color="D3D9DD"/>
          <w:insideV w:val="single" w:sz="5" w:color="D3D9DD"/>
        </w:tblBorders>
      </w:tblPr>
      <w:tblGrid>
        <w:gridCol w:w="5141"/>
        <w:gridCol w:w="5141"/>
      </w:tblGrid>
      <w:tr>
        <w:trPr>
          <w:cantSplit/>
          <w:tblHeader w:val="true"/>
        </w:trPr>
        <w:tc>
          <w:tcPr>
            <w:tcW w:type="dxa" w:w="1944"/>
            <w:shd w:fill="173A52"/>
            <w:tcMar>
              <w:top w:w="70" w:type="dxa"/>
              <w:start w:w="85" w:type="dxa"/>
              <w:bottom w:w="70" w:type="dxa"/>
              <w:end w:w="85" w:type="dxa"/>
            </w:tcMar>
            <w:vAlign w:val="center"/>
          </w:tcPr>
          <w:p>
            <w:pPr>
              <w:jc w:val="left"/>
            </w:pPr>
            <w:r>
              <w:rPr>
                <w:b/>
                <w:color w:val="FFFFFF"/>
                <w:sz w:val="16"/>
              </w:rPr>
              <w:t>Field</w:t>
            </w:r>
          </w:p>
        </w:tc>
        <w:tc>
          <w:tcPr>
            <w:tcW w:type="dxa" w:w="8352"/>
            <w:shd w:fill="173A52"/>
            <w:tcMar>
              <w:top w:w="70" w:type="dxa"/>
              <w:start w:w="85" w:type="dxa"/>
              <w:bottom w:w="70" w:type="dxa"/>
              <w:end w:w="85" w:type="dxa"/>
            </w:tcMar>
            <w:vAlign w:val="center"/>
          </w:tcPr>
          <w:p>
            <w:pPr>
              <w:jc w:val="left"/>
            </w:pPr>
            <w:r>
              <w:rPr>
                <w:b/>
                <w:color w:val="FFFFFF"/>
                <w:sz w:val="16"/>
              </w:rPr>
              <w:t>Initial case record</w:t>
            </w:r>
          </w:p>
        </w:tc>
      </w:tr>
      <w:tr>
        <w:trPr>
          <w:cantSplit/>
        </w:trPr>
        <w:tc>
          <w:tcPr>
            <w:tcW w:type="dxa" w:w="1944"/>
            <w:tcMar>
              <w:top w:w="70" w:type="dxa"/>
              <w:start w:w="85" w:type="dxa"/>
              <w:bottom w:w="70" w:type="dxa"/>
              <w:end w:w="85" w:type="dxa"/>
            </w:tcMar>
            <w:vAlign w:val="center"/>
          </w:tcPr>
          <w:p>
            <w:pPr>
              <w:jc w:val="left"/>
            </w:pPr>
            <w:r>
              <w:rPr>
                <w:b/>
                <w:sz w:val="15"/>
              </w:rPr>
              <w:t>Institution</w:t>
            </w:r>
          </w:p>
        </w:tc>
        <w:tc>
          <w:tcPr>
            <w:tcW w:type="dxa" w:w="8352"/>
            <w:tcMar>
              <w:top w:w="70" w:type="dxa"/>
              <w:start w:w="85" w:type="dxa"/>
              <w:bottom w:w="70" w:type="dxa"/>
              <w:end w:w="85" w:type="dxa"/>
            </w:tcMar>
            <w:vAlign w:val="center"/>
          </w:tcPr>
          <w:p>
            <w:pPr>
              <w:jc w:val="left"/>
            </w:pPr>
            <w:r>
              <w:rPr>
                <w:sz w:val="15"/>
              </w:rPr>
              <w:t>Private Jesuit and Catholic university</w:t>
            </w:r>
          </w:p>
        </w:tc>
      </w:tr>
      <w:tr>
        <w:trPr>
          <w:cantSplit/>
        </w:trPr>
        <w:tc>
          <w:tcPr>
            <w:tcW w:type="dxa" w:w="1944"/>
            <w:shd w:fill="F7F9FA"/>
            <w:tcMar>
              <w:top w:w="70" w:type="dxa"/>
              <w:start w:w="85" w:type="dxa"/>
              <w:bottom w:w="70" w:type="dxa"/>
              <w:end w:w="85" w:type="dxa"/>
            </w:tcMar>
            <w:vAlign w:val="center"/>
          </w:tcPr>
          <w:p>
            <w:pPr>
              <w:jc w:val="left"/>
            </w:pPr>
            <w:r>
              <w:rPr>
                <w:b/>
                <w:sz w:val="15"/>
              </w:rPr>
              <w:t>Review unit</w:t>
            </w:r>
          </w:p>
        </w:tc>
        <w:tc>
          <w:tcPr>
            <w:tcW w:type="dxa" w:w="8352"/>
            <w:shd w:fill="F7F9FA"/>
            <w:tcMar>
              <w:top w:w="70" w:type="dxa"/>
              <w:start w:w="85" w:type="dxa"/>
              <w:bottom w:w="70" w:type="dxa"/>
              <w:end w:w="85" w:type="dxa"/>
            </w:tcMar>
            <w:vAlign w:val="center"/>
          </w:tcPr>
          <w:p>
            <w:pPr>
              <w:jc w:val="left"/>
            </w:pPr>
            <w:r>
              <w:rPr>
                <w:sz w:val="15"/>
              </w:rPr>
              <w:t>Co-constructed course policy and AI-free versus AI-integrated design</w:t>
            </w:r>
          </w:p>
        </w:tc>
      </w:tr>
      <w:tr>
        <w:trPr>
          <w:cantSplit/>
        </w:trPr>
        <w:tc>
          <w:tcPr>
            <w:tcW w:type="dxa" w:w="1944"/>
            <w:tcMar>
              <w:top w:w="70" w:type="dxa"/>
              <w:start w:w="85" w:type="dxa"/>
              <w:bottom w:w="70" w:type="dxa"/>
              <w:end w:w="85" w:type="dxa"/>
            </w:tcMar>
            <w:vAlign w:val="center"/>
          </w:tcPr>
          <w:p>
            <w:pPr>
              <w:jc w:val="left"/>
            </w:pPr>
            <w:r>
              <w:rPr>
                <w:b/>
                <w:sz w:val="15"/>
              </w:rPr>
              <w:t>AI condition</w:t>
            </w:r>
          </w:p>
        </w:tc>
        <w:tc>
          <w:tcPr>
            <w:tcW w:type="dxa" w:w="8352"/>
            <w:tcMar>
              <w:top w:w="70" w:type="dxa"/>
              <w:start w:w="85" w:type="dxa"/>
              <w:bottom w:w="70" w:type="dxa"/>
              <w:end w:w="85" w:type="dxa"/>
            </w:tcMar>
            <w:vAlign w:val="center"/>
          </w:tcPr>
          <w:p>
            <w:pPr>
              <w:jc w:val="left"/>
            </w:pPr>
            <w:r>
              <w:rPr>
                <w:sz w:val="15"/>
              </w:rPr>
              <w:t>H0 or S1 by learning purpose with protected Copilot available</w:t>
            </w:r>
          </w:p>
        </w:tc>
      </w:tr>
      <w:tr>
        <w:trPr>
          <w:cantSplit/>
        </w:trPr>
        <w:tc>
          <w:tcPr>
            <w:tcW w:type="dxa" w:w="1944"/>
            <w:shd w:fill="F7F9FA"/>
            <w:tcMar>
              <w:top w:w="70" w:type="dxa"/>
              <w:start w:w="85" w:type="dxa"/>
              <w:bottom w:w="70" w:type="dxa"/>
              <w:end w:w="85" w:type="dxa"/>
            </w:tcMar>
            <w:vAlign w:val="center"/>
          </w:tcPr>
          <w:p>
            <w:pPr>
              <w:jc w:val="left"/>
            </w:pPr>
            <w:r>
              <w:rPr>
                <w:b/>
                <w:sz w:val="15"/>
              </w:rPr>
              <w:t>Current status</w:t>
            </w:r>
          </w:p>
        </w:tc>
        <w:tc>
          <w:tcPr>
            <w:tcW w:type="dxa" w:w="8352"/>
            <w:shd w:fill="F7F9FA"/>
            <w:tcMar>
              <w:top w:w="70" w:type="dxa"/>
              <w:start w:w="85" w:type="dxa"/>
              <w:bottom w:w="70" w:type="dxa"/>
              <w:end w:w="85" w:type="dxa"/>
            </w:tcMar>
            <w:vAlign w:val="center"/>
          </w:tcPr>
          <w:p>
            <w:pPr>
              <w:jc w:val="left"/>
            </w:pPr>
            <w:r>
              <w:rPr>
                <w:sz w:val="15"/>
              </w:rPr>
              <w:t>Strong whole-person mission and practical choice architecture</w:t>
            </w:r>
          </w:p>
        </w:tc>
      </w:tr>
    </w:tbl>
    <w:p>
      <w:pPr>
        <w:spacing w:after="0"/>
      </w:pPr>
    </w:p>
    <w:p>
      <w:pPr>
        <w:pStyle w:val="Heading2"/>
      </w:pPr>
      <w:r>
        <w:t>Initial finding</w:t>
      </w:r>
    </w:p>
    <w:p>
      <w:r>
        <w:t>LMU explicitly gives faculty practical options for AI-free and AI-integrated teaching. It also publishes a supported-tool list, requires attention to access and privacy before mandating a tool, and highlights a history-faculty example in which students help discuss and revise course expectations.</w:t>
      </w:r>
    </w:p>
    <w:p>
      <w:pPr>
        <w:pStyle w:val="Heading2"/>
      </w:pPr>
      <w:r>
        <w:t>Published rule and governance</w:t>
      </w:r>
    </w:p>
    <w:p>
      <w:r>
        <w:t>Faculty and departments determine academic use within honesty, security, and privacy requirements. Microsoft Copilot is available through LMU accounts with data protection. LMU tells instructors to consider account requirements, cost, accessibility, privacy, and a reasonable alternative before requiring student use.</w:t>
      </w:r>
    </w:p>
    <w:p>
      <w:pPr>
        <w:pStyle w:val="Heading2"/>
      </w:pPr>
      <w:r>
        <w:t>Representative learning activity</w:t>
      </w:r>
    </w:p>
    <w:p>
      <w:r>
        <w:t>Study a course that co-constructs its AI policy. Preserve the initial policy, student discussion, revisions, final rule, one AI-free assignment, one bounded-use assignment, disclosures, and the instructor's learning rationale.</w:t>
      </w:r>
    </w:p>
    <w:p>
      <w:pPr>
        <w:pStyle w:val="Heading2"/>
      </w:pPr>
      <w:r>
        <w:t>Protected human performance</w:t>
      </w:r>
    </w:p>
    <w:p>
      <w:r>
        <w:t>Use the AI-free assignment as the anchor and add a brief oral explanation or supervised revision. Students should identify their own reasoning, explain the policy tradeoffs, verify sources, and show that collaboration on the rule did not weaken individual accountability.</w:t>
      </w:r>
    </w:p>
    <w:p>
      <w:pPr>
        <w:pStyle w:val="Heading2"/>
      </w:pPr>
      <w:r>
        <w:t>Significance for the well formed mind</w:t>
      </w:r>
    </w:p>
    <w:p>
      <w:r>
        <w:t>LMU offers a useful model of agency because students may participate in setting expectations and because instructors are told to provide reasonable alternatives. The score depends on whether those choices protect foundational work and whether the university measures independent judgment.</w:t>
      </w:r>
    </w:p>
    <w:p>
      <w:pPr>
        <w:pStyle w:val="Heading2"/>
      </w:pPr>
      <w:r>
        <w:t>COVID wellness and relationships</w:t>
      </w:r>
    </w:p>
    <w:p>
      <w:r>
        <w:t>Whole-person education makes wellness relevant, but the case needs actual measures. Compare family and peer support, attention, workload, instructor contact, and help-seeking without treating current distress as proof of either COVID or AI effects.</w:t>
      </w:r>
    </w:p>
    <w:p>
      <w:pPr>
        <w:pStyle w:val="Heading2"/>
      </w:pPr>
      <w:r>
        <w:t>Evidence still needed</w:t>
      </w:r>
    </w:p>
    <w:p>
      <w:pPr>
        <w:pStyle w:val="ListBullet"/>
        <w:ind w:left="389" w:hanging="216"/>
      </w:pPr>
      <w:r>
        <w:t>How widely co-constructed policies and AI-free alternatives are used.</w:t>
      </w:r>
    </w:p>
    <w:p>
      <w:pPr>
        <w:pStyle w:val="ListBullet"/>
        <w:ind w:left="389" w:hanging="216"/>
      </w:pPr>
      <w:r>
        <w:t>Outcome evidence for independent judgment, writing, and ethical reasoning.</w:t>
      </w:r>
    </w:p>
    <w:p>
      <w:pPr>
        <w:pStyle w:val="ListBullet"/>
        <w:ind w:left="389" w:hanging="216"/>
      </w:pPr>
      <w:r>
        <w:t>Local review of AI detection, accessibility, accommodation, and student data practices.</w:t>
      </w:r>
    </w:p>
    <w:p>
      <w:pPr>
        <w:spacing w:before="140" w:after="100"/>
      </w:pPr>
      <w:r>
        <w:rPr>
          <w:b/>
        </w:rPr>
        <w:t xml:space="preserve">Official sources  </w:t>
      </w:r>
      <w:hyperlink r:id="rId25">
        <w:r>
          <w:rPr>
            <w:color w:val="2B5370"/>
            <w:u w:val="single"/>
          </w:rPr>
          <w:t>AI in teaching and learning</w:t>
        </w:r>
      </w:hyperlink>
      <w:r>
        <w:t xml:space="preserve">  |  </w:t>
      </w:r>
      <w:hyperlink r:id="rId26">
        <w:r>
          <w:rPr>
            <w:color w:val="2B5370"/>
            <w:u w:val="single"/>
          </w:rPr>
          <w:t>AI tools and services</w:t>
        </w:r>
      </w:hyperlink>
      <w:r>
        <w:t xml:space="preserve">  |  </w:t>
      </w:r>
      <w:hyperlink r:id="rId27">
        <w:r>
          <w:rPr>
            <w:color w:val="2B5370"/>
            <w:u w:val="single"/>
          </w:rPr>
          <w:t>Academic honesty and AI</w:t>
        </w:r>
      </w:hyperlink>
    </w:p>
    <w:p>
      <w:pPr>
        <w:pStyle w:val="Heading1"/>
      </w:pPr>
      <w:r>
        <w:t>Case 7  Thomas Aquinas College</w:t>
      </w:r>
    </w:p>
    <w:tbl>
      <w:tblPr>
        <w:tblW w:type="auto" w:w="0"/>
        <w:jc w:val="center"/>
        <w:tblLayout w:type="fixed"/>
        <w:tblLook w:firstColumn="1" w:firstRow="1" w:lastColumn="0" w:lastRow="0" w:noHBand="0" w:noVBand="1" w:val="04A0"/>
        <w:tblBorders>
          <w:top w:val="single" w:sz="5" w:color="D3D9DD"/>
          <w:left w:val="single" w:sz="5" w:color="D3D9DD"/>
          <w:bottom w:val="single" w:sz="5" w:color="D3D9DD"/>
          <w:right w:val="single" w:sz="5" w:color="D3D9DD"/>
          <w:insideH w:val="single" w:sz="5" w:color="D3D9DD"/>
          <w:insideV w:val="single" w:sz="5" w:color="D3D9DD"/>
        </w:tblBorders>
      </w:tblPr>
      <w:tblGrid>
        <w:gridCol w:w="5141"/>
        <w:gridCol w:w="5141"/>
      </w:tblGrid>
      <w:tr>
        <w:trPr>
          <w:cantSplit/>
          <w:tblHeader w:val="true"/>
        </w:trPr>
        <w:tc>
          <w:tcPr>
            <w:tcW w:type="dxa" w:w="1944"/>
            <w:shd w:fill="173A52"/>
            <w:tcMar>
              <w:top w:w="70" w:type="dxa"/>
              <w:start w:w="85" w:type="dxa"/>
              <w:bottom w:w="70" w:type="dxa"/>
              <w:end w:w="85" w:type="dxa"/>
            </w:tcMar>
            <w:vAlign w:val="center"/>
          </w:tcPr>
          <w:p>
            <w:pPr>
              <w:jc w:val="left"/>
            </w:pPr>
            <w:r>
              <w:rPr>
                <w:b/>
                <w:color w:val="FFFFFF"/>
                <w:sz w:val="16"/>
              </w:rPr>
              <w:t>Field</w:t>
            </w:r>
          </w:p>
        </w:tc>
        <w:tc>
          <w:tcPr>
            <w:tcW w:type="dxa" w:w="8352"/>
            <w:shd w:fill="173A52"/>
            <w:tcMar>
              <w:top w:w="70" w:type="dxa"/>
              <w:start w:w="85" w:type="dxa"/>
              <w:bottom w:w="70" w:type="dxa"/>
              <w:end w:w="85" w:type="dxa"/>
            </w:tcMar>
            <w:vAlign w:val="center"/>
          </w:tcPr>
          <w:p>
            <w:pPr>
              <w:jc w:val="left"/>
            </w:pPr>
            <w:r>
              <w:rPr>
                <w:b/>
                <w:color w:val="FFFFFF"/>
                <w:sz w:val="16"/>
              </w:rPr>
              <w:t>Initial case record</w:t>
            </w:r>
          </w:p>
        </w:tc>
      </w:tr>
      <w:tr>
        <w:trPr>
          <w:cantSplit/>
        </w:trPr>
        <w:tc>
          <w:tcPr>
            <w:tcW w:type="dxa" w:w="1944"/>
            <w:tcMar>
              <w:top w:w="70" w:type="dxa"/>
              <w:start w:w="85" w:type="dxa"/>
              <w:bottom w:w="70" w:type="dxa"/>
              <w:end w:w="85" w:type="dxa"/>
            </w:tcMar>
            <w:vAlign w:val="center"/>
          </w:tcPr>
          <w:p>
            <w:pPr>
              <w:jc w:val="left"/>
            </w:pPr>
            <w:r>
              <w:rPr>
                <w:b/>
                <w:sz w:val="15"/>
              </w:rPr>
              <w:t>Institution</w:t>
            </w:r>
          </w:p>
        </w:tc>
        <w:tc>
          <w:tcPr>
            <w:tcW w:type="dxa" w:w="8352"/>
            <w:tcMar>
              <w:top w:w="70" w:type="dxa"/>
              <w:start w:w="85" w:type="dxa"/>
              <w:bottom w:w="70" w:type="dxa"/>
              <w:end w:w="85" w:type="dxa"/>
            </w:tcMar>
            <w:vAlign w:val="center"/>
          </w:tcPr>
          <w:p>
            <w:pPr>
              <w:jc w:val="left"/>
            </w:pPr>
            <w:r>
              <w:rPr>
                <w:sz w:val="15"/>
              </w:rPr>
              <w:t>Private Catholic four year college</w:t>
            </w:r>
          </w:p>
        </w:tc>
      </w:tr>
      <w:tr>
        <w:trPr>
          <w:cantSplit/>
        </w:trPr>
        <w:tc>
          <w:tcPr>
            <w:tcW w:type="dxa" w:w="1944"/>
            <w:shd w:fill="F7F9FA"/>
            <w:tcMar>
              <w:top w:w="70" w:type="dxa"/>
              <w:start w:w="85" w:type="dxa"/>
              <w:bottom w:w="70" w:type="dxa"/>
              <w:end w:w="85" w:type="dxa"/>
            </w:tcMar>
            <w:vAlign w:val="center"/>
          </w:tcPr>
          <w:p>
            <w:pPr>
              <w:jc w:val="left"/>
            </w:pPr>
            <w:r>
              <w:rPr>
                <w:b/>
                <w:sz w:val="15"/>
              </w:rPr>
              <w:t>Review unit</w:t>
            </w:r>
          </w:p>
        </w:tc>
        <w:tc>
          <w:tcPr>
            <w:tcW w:type="dxa" w:w="8352"/>
            <w:shd w:fill="F7F9FA"/>
            <w:tcMar>
              <w:top w:w="70" w:type="dxa"/>
              <w:start w:w="85" w:type="dxa"/>
              <w:bottom w:w="70" w:type="dxa"/>
              <w:end w:w="85" w:type="dxa"/>
            </w:tcMar>
            <w:vAlign w:val="center"/>
          </w:tcPr>
          <w:p>
            <w:pPr>
              <w:jc w:val="left"/>
            </w:pPr>
            <w:r>
              <w:rPr>
                <w:sz w:val="15"/>
              </w:rPr>
              <w:t>Composition and senior thesis under the California Code of Conduct</w:t>
            </w:r>
          </w:p>
        </w:tc>
      </w:tr>
      <w:tr>
        <w:trPr>
          <w:cantSplit/>
        </w:trPr>
        <w:tc>
          <w:tcPr>
            <w:tcW w:type="dxa" w:w="1944"/>
            <w:tcMar>
              <w:top w:w="70" w:type="dxa"/>
              <w:start w:w="85" w:type="dxa"/>
              <w:bottom w:w="70" w:type="dxa"/>
              <w:end w:w="85" w:type="dxa"/>
            </w:tcMar>
            <w:vAlign w:val="center"/>
          </w:tcPr>
          <w:p>
            <w:pPr>
              <w:jc w:val="left"/>
            </w:pPr>
            <w:r>
              <w:rPr>
                <w:b/>
                <w:sz w:val="15"/>
              </w:rPr>
              <w:t>AI condition</w:t>
            </w:r>
          </w:p>
        </w:tc>
        <w:tc>
          <w:tcPr>
            <w:tcW w:type="dxa" w:w="8352"/>
            <w:tcMar>
              <w:top w:w="70" w:type="dxa"/>
              <w:start w:w="85" w:type="dxa"/>
              <w:bottom w:w="70" w:type="dxa"/>
              <w:end w:w="85" w:type="dxa"/>
            </w:tcMar>
            <w:vAlign w:val="center"/>
          </w:tcPr>
          <w:p>
            <w:pPr>
              <w:jc w:val="left"/>
            </w:pPr>
            <w:r>
              <w:rPr>
                <w:sz w:val="15"/>
              </w:rPr>
              <w:t>H0 for generating academic papers and related preparatory work</w:t>
            </w:r>
          </w:p>
        </w:tc>
      </w:tr>
      <w:tr>
        <w:trPr>
          <w:cantSplit/>
        </w:trPr>
        <w:tc>
          <w:tcPr>
            <w:tcW w:type="dxa" w:w="1944"/>
            <w:shd w:fill="F7F9FA"/>
            <w:tcMar>
              <w:top w:w="70" w:type="dxa"/>
              <w:start w:w="85" w:type="dxa"/>
              <w:bottom w:w="70" w:type="dxa"/>
              <w:end w:w="85" w:type="dxa"/>
            </w:tcMar>
            <w:vAlign w:val="center"/>
          </w:tcPr>
          <w:p>
            <w:pPr>
              <w:jc w:val="left"/>
            </w:pPr>
            <w:r>
              <w:rPr>
                <w:b/>
                <w:sz w:val="15"/>
              </w:rPr>
              <w:t>Current status</w:t>
            </w:r>
          </w:p>
        </w:tc>
        <w:tc>
          <w:tcPr>
            <w:tcW w:type="dxa" w:w="8352"/>
            <w:shd w:fill="F7F9FA"/>
            <w:tcMar>
              <w:top w:w="70" w:type="dxa"/>
              <w:start w:w="85" w:type="dxa"/>
              <w:bottom w:w="70" w:type="dxa"/>
              <w:end w:w="85" w:type="dxa"/>
            </w:tcMar>
            <w:vAlign w:val="center"/>
          </w:tcPr>
          <w:p>
            <w:pPr>
              <w:jc w:val="left"/>
            </w:pPr>
            <w:r>
              <w:rPr>
                <w:sz w:val="15"/>
              </w:rPr>
              <w:t>Strongest explicit formation-based restriction in the sample</w:t>
            </w:r>
          </w:p>
        </w:tc>
      </w:tr>
    </w:tbl>
    <w:p>
      <w:pPr>
        <w:spacing w:after="0"/>
      </w:pPr>
    </w:p>
    <w:p>
      <w:pPr>
        <w:pStyle w:val="Heading2"/>
      </w:pPr>
      <w:r>
        <w:t>Initial finding</w:t>
      </w:r>
    </w:p>
    <w:p>
      <w:r>
        <w:t>The current California Code of Conduct resolves a major Phase Seven gap. Thomas Aquinas College does publish a student-facing AI rule. It states that AI can perform work students need to do for themselves and therefore prohibits AI or AI-enabled search engines in generating an academic paper. The prohibition extends to finding texts, outlining, obtaining arguments, composing sentences, editing, and AI-enabled tools such as Grammarly.</w:t>
      </w:r>
    </w:p>
    <w:p>
      <w:pPr>
        <w:pStyle w:val="Heading2"/>
      </w:pPr>
      <w:r>
        <w:t>Published rule and governance</w:t>
      </w:r>
    </w:p>
    <w:p>
      <w:r>
        <w:t>The rule is grounded in the College's educational purpose rather than detection convenience. Students are expected to learn from physical books, rational conversation, original texts, tutorials, laboratories, seminars, and composition. Special senior-thesis considerations are supplied separately to seniors.</w:t>
      </w:r>
    </w:p>
    <w:p>
      <w:pPr>
        <w:pStyle w:val="Heading2"/>
      </w:pPr>
      <w:r>
        <w:t>Representative learning activity</w:t>
      </w:r>
    </w:p>
    <w:p>
      <w:r>
        <w:t>Review one composition sequence and the senior thesis. Preserve reading notes, outlines, drafts, tutor comments, oral examinations or defenses, and the senior handout. Examine how sources are found and verified without AI-enabled search and how accessibility needs are handled.</w:t>
      </w:r>
    </w:p>
    <w:p>
      <w:pPr>
        <w:pStyle w:val="Heading2"/>
      </w:pPr>
      <w:r>
        <w:t>Protected human performance</w:t>
      </w:r>
    </w:p>
    <w:p>
      <w:r>
        <w:t>The ordinary program already contains protected performances: seminar discussion, mathematical demonstration, laboratory work, compositions, and defense of the senior thesis. Phase Eight should document scoring rubrics and the connection among these measures rather than invent a new test.</w:t>
      </w:r>
    </w:p>
    <w:p>
      <w:pPr>
        <w:pStyle w:val="Heading2"/>
      </w:pPr>
      <w:r>
        <w:t>Significance for the well formed mind</w:t>
      </w:r>
    </w:p>
    <w:p>
      <w:r>
        <w:t>This is the clearest institutional claim that some technologies conflict with the ends of education because they replace formative acts. It provides a strong benchmark for cognitive independence. It still requires evidence on implementation, accessibility, student learning, and whether graduates can later use AI responsibly when formation is secure.</w:t>
      </w:r>
    </w:p>
    <w:p>
      <w:pPr>
        <w:pStyle w:val="Heading2"/>
      </w:pPr>
      <w:r>
        <w:t>COVID wellness and relationships</w:t>
      </w:r>
    </w:p>
    <w:p>
      <w:r>
        <w:t>The College's emergency move online produced weaker engagement in its own account and reinforced the importance of in-person discussion. That experience supports institutional fit but is not a causal wellness study. Friendship, exercise, attention, and community participation should be examined as related conditions.</w:t>
      </w:r>
    </w:p>
    <w:p>
      <w:pPr>
        <w:pStyle w:val="Heading2"/>
      </w:pPr>
      <w:r>
        <w:t>Evidence still needed</w:t>
      </w:r>
    </w:p>
    <w:p>
      <w:pPr>
        <w:pStyle w:val="ListBullet"/>
        <w:ind w:left="389" w:hanging="216"/>
      </w:pPr>
      <w:r>
        <w:t>The senior-thesis AI handout and any exceptions or accommodations.</w:t>
      </w:r>
    </w:p>
    <w:p>
      <w:pPr>
        <w:pStyle w:val="ListBullet"/>
        <w:ind w:left="389" w:hanging="216"/>
      </w:pPr>
      <w:r>
        <w:t>Implementation evidence and comparable outcomes before and after the explicit rule.</w:t>
      </w:r>
    </w:p>
    <w:p>
      <w:pPr>
        <w:pStyle w:val="ListBullet"/>
        <w:ind w:left="389" w:hanging="216"/>
      </w:pPr>
      <w:r>
        <w:t>How the College prepares students for ethical AI use outside academic-paper generation.</w:t>
      </w:r>
    </w:p>
    <w:p>
      <w:pPr>
        <w:spacing w:before="140" w:after="100"/>
      </w:pPr>
      <w:r>
        <w:rPr>
          <w:b/>
        </w:rPr>
        <w:t xml:space="preserve">Official sources  </w:t>
      </w:r>
      <w:hyperlink r:id="rId28">
        <w:r>
          <w:rPr>
            <w:color w:val="2B5370"/>
            <w:u w:val="single"/>
          </w:rPr>
          <w:t>California Code of Conduct</w:t>
        </w:r>
      </w:hyperlink>
      <w:r>
        <w:t xml:space="preserve">  |  </w:t>
      </w:r>
      <w:hyperlink r:id="rId29">
        <w:r>
          <w:rPr>
            <w:color w:val="2B5370"/>
            <w:u w:val="single"/>
          </w:rPr>
          <w:t>College syllabus</w:t>
        </w:r>
      </w:hyperlink>
      <w:r>
        <w:t xml:space="preserve">  |  </w:t>
      </w:r>
      <w:hyperlink r:id="rId30">
        <w:r>
          <w:rPr>
            <w:color w:val="2B5370"/>
            <w:u w:val="single"/>
          </w:rPr>
          <w:t>AI and Human Flourishing</w:t>
        </w:r>
      </w:hyperlink>
      <w:r>
        <w:t xml:space="preserve">  |  </w:t>
      </w:r>
      <w:hyperlink r:id="rId31">
        <w:r>
          <w:rPr>
            <w:color w:val="2B5370"/>
            <w:u w:val="single"/>
          </w:rPr>
          <w:t>COVID online transition</w:t>
        </w:r>
      </w:hyperlink>
    </w:p>
    <w:p>
      <w:pPr>
        <w:pStyle w:val="Heading1"/>
      </w:pPr>
      <w:r>
        <w:t>Case 8  Mother of Divine Grace School</w:t>
      </w:r>
    </w:p>
    <w:tbl>
      <w:tblPr>
        <w:tblW w:type="auto" w:w="0"/>
        <w:jc w:val="center"/>
        <w:tblLayout w:type="fixed"/>
        <w:tblLook w:firstColumn="1" w:firstRow="1" w:lastColumn="0" w:lastRow="0" w:noHBand="0" w:noVBand="1" w:val="04A0"/>
        <w:tblBorders>
          <w:top w:val="single" w:sz="5" w:color="D3D9DD"/>
          <w:left w:val="single" w:sz="5" w:color="D3D9DD"/>
          <w:bottom w:val="single" w:sz="5" w:color="D3D9DD"/>
          <w:right w:val="single" w:sz="5" w:color="D3D9DD"/>
          <w:insideH w:val="single" w:sz="5" w:color="D3D9DD"/>
          <w:insideV w:val="single" w:sz="5" w:color="D3D9DD"/>
        </w:tblBorders>
      </w:tblPr>
      <w:tblGrid>
        <w:gridCol w:w="5141"/>
        <w:gridCol w:w="5141"/>
      </w:tblGrid>
      <w:tr>
        <w:trPr>
          <w:cantSplit/>
          <w:tblHeader w:val="true"/>
        </w:trPr>
        <w:tc>
          <w:tcPr>
            <w:tcW w:type="dxa" w:w="1944"/>
            <w:shd w:fill="173A52"/>
            <w:tcMar>
              <w:top w:w="70" w:type="dxa"/>
              <w:start w:w="85" w:type="dxa"/>
              <w:bottom w:w="70" w:type="dxa"/>
              <w:end w:w="85" w:type="dxa"/>
            </w:tcMar>
            <w:vAlign w:val="center"/>
          </w:tcPr>
          <w:p>
            <w:pPr>
              <w:jc w:val="left"/>
            </w:pPr>
            <w:r>
              <w:rPr>
                <w:b/>
                <w:color w:val="FFFFFF"/>
                <w:sz w:val="16"/>
              </w:rPr>
              <w:t>Field</w:t>
            </w:r>
          </w:p>
        </w:tc>
        <w:tc>
          <w:tcPr>
            <w:tcW w:type="dxa" w:w="8352"/>
            <w:shd w:fill="173A52"/>
            <w:tcMar>
              <w:top w:w="70" w:type="dxa"/>
              <w:start w:w="85" w:type="dxa"/>
              <w:bottom w:w="70" w:type="dxa"/>
              <w:end w:w="85" w:type="dxa"/>
            </w:tcMar>
            <w:vAlign w:val="center"/>
          </w:tcPr>
          <w:p>
            <w:pPr>
              <w:jc w:val="left"/>
            </w:pPr>
            <w:r>
              <w:rPr>
                <w:b/>
                <w:color w:val="FFFFFF"/>
                <w:sz w:val="16"/>
              </w:rPr>
              <w:t>Initial case record</w:t>
            </w:r>
          </w:p>
        </w:tc>
      </w:tr>
      <w:tr>
        <w:trPr>
          <w:cantSplit/>
        </w:trPr>
        <w:tc>
          <w:tcPr>
            <w:tcW w:type="dxa" w:w="1944"/>
            <w:tcMar>
              <w:top w:w="70" w:type="dxa"/>
              <w:start w:w="85" w:type="dxa"/>
              <w:bottom w:w="70" w:type="dxa"/>
              <w:end w:w="85" w:type="dxa"/>
            </w:tcMar>
            <w:vAlign w:val="center"/>
          </w:tcPr>
          <w:p>
            <w:pPr>
              <w:jc w:val="left"/>
            </w:pPr>
            <w:r>
              <w:rPr>
                <w:b/>
                <w:sz w:val="15"/>
              </w:rPr>
              <w:t>Institution</w:t>
            </w:r>
          </w:p>
        </w:tc>
        <w:tc>
          <w:tcPr>
            <w:tcW w:type="dxa" w:w="8352"/>
            <w:tcMar>
              <w:top w:w="70" w:type="dxa"/>
              <w:start w:w="85" w:type="dxa"/>
              <w:bottom w:w="70" w:type="dxa"/>
              <w:end w:w="85" w:type="dxa"/>
            </w:tcMar>
            <w:vAlign w:val="center"/>
          </w:tcPr>
          <w:p>
            <w:pPr>
              <w:jc w:val="left"/>
            </w:pPr>
            <w:r>
              <w:rPr>
                <w:sz w:val="15"/>
              </w:rPr>
              <w:t>Private Catholic K through 12 distance and home education program</w:t>
            </w:r>
          </w:p>
        </w:tc>
      </w:tr>
      <w:tr>
        <w:trPr>
          <w:cantSplit/>
        </w:trPr>
        <w:tc>
          <w:tcPr>
            <w:tcW w:type="dxa" w:w="1944"/>
            <w:shd w:fill="F7F9FA"/>
            <w:tcMar>
              <w:top w:w="70" w:type="dxa"/>
              <w:start w:w="85" w:type="dxa"/>
              <w:bottom w:w="70" w:type="dxa"/>
              <w:end w:w="85" w:type="dxa"/>
            </w:tcMar>
            <w:vAlign w:val="center"/>
          </w:tcPr>
          <w:p>
            <w:pPr>
              <w:jc w:val="left"/>
            </w:pPr>
            <w:r>
              <w:rPr>
                <w:b/>
                <w:sz w:val="15"/>
              </w:rPr>
              <w:t>Review unit</w:t>
            </w:r>
          </w:p>
        </w:tc>
        <w:tc>
          <w:tcPr>
            <w:tcW w:type="dxa" w:w="8352"/>
            <w:shd w:fill="F7F9FA"/>
            <w:tcMar>
              <w:top w:w="70" w:type="dxa"/>
              <w:start w:w="85" w:type="dxa"/>
              <w:bottom w:w="70" w:type="dxa"/>
              <w:end w:w="85" w:type="dxa"/>
            </w:tcMar>
            <w:vAlign w:val="center"/>
          </w:tcPr>
          <w:p>
            <w:pPr>
              <w:jc w:val="left"/>
            </w:pPr>
            <w:r>
              <w:rPr>
                <w:sz w:val="15"/>
              </w:rPr>
              <w:t>Grades 6 through 9 logic and composition within the parent directed sequence</w:t>
            </w:r>
          </w:p>
        </w:tc>
      </w:tr>
      <w:tr>
        <w:trPr>
          <w:cantSplit/>
        </w:trPr>
        <w:tc>
          <w:tcPr>
            <w:tcW w:type="dxa" w:w="1944"/>
            <w:tcMar>
              <w:top w:w="70" w:type="dxa"/>
              <w:start w:w="85" w:type="dxa"/>
              <w:bottom w:w="70" w:type="dxa"/>
              <w:end w:w="85" w:type="dxa"/>
            </w:tcMar>
            <w:vAlign w:val="center"/>
          </w:tcPr>
          <w:p>
            <w:pPr>
              <w:jc w:val="left"/>
            </w:pPr>
            <w:r>
              <w:rPr>
                <w:b/>
                <w:sz w:val="15"/>
              </w:rPr>
              <w:t>AI condition</w:t>
            </w:r>
          </w:p>
        </w:tc>
        <w:tc>
          <w:tcPr>
            <w:tcW w:type="dxa" w:w="8352"/>
            <w:tcMar>
              <w:top w:w="70" w:type="dxa"/>
              <w:start w:w="85" w:type="dxa"/>
              <w:bottom w:w="70" w:type="dxa"/>
              <w:end w:w="85" w:type="dxa"/>
            </w:tcMar>
            <w:vAlign w:val="center"/>
          </w:tcPr>
          <w:p>
            <w:pPr>
              <w:jc w:val="left"/>
            </w:pPr>
            <w:r>
              <w:rPr>
                <w:sz w:val="15"/>
              </w:rPr>
              <w:t>H0 baseline pending a public age-specific AI policy</w:t>
            </w:r>
          </w:p>
        </w:tc>
      </w:tr>
      <w:tr>
        <w:trPr>
          <w:cantSplit/>
        </w:trPr>
        <w:tc>
          <w:tcPr>
            <w:tcW w:type="dxa" w:w="1944"/>
            <w:shd w:fill="F7F9FA"/>
            <w:tcMar>
              <w:top w:w="70" w:type="dxa"/>
              <w:start w:w="85" w:type="dxa"/>
              <w:bottom w:w="70" w:type="dxa"/>
              <w:end w:w="85" w:type="dxa"/>
            </w:tcMar>
            <w:vAlign w:val="center"/>
          </w:tcPr>
          <w:p>
            <w:pPr>
              <w:jc w:val="left"/>
            </w:pPr>
            <w:r>
              <w:rPr>
                <w:b/>
                <w:sz w:val="15"/>
              </w:rPr>
              <w:t>Current status</w:t>
            </w:r>
          </w:p>
        </w:tc>
        <w:tc>
          <w:tcPr>
            <w:tcW w:type="dxa" w:w="8352"/>
            <w:shd w:fill="F7F9FA"/>
            <w:tcMar>
              <w:top w:w="70" w:type="dxa"/>
              <w:start w:w="85" w:type="dxa"/>
              <w:bottom w:w="70" w:type="dxa"/>
              <w:end w:w="85" w:type="dxa"/>
            </w:tcMar>
            <w:vAlign w:val="center"/>
          </w:tcPr>
          <w:p>
            <w:pPr>
              <w:jc w:val="left"/>
            </w:pPr>
            <w:r>
              <w:rPr>
                <w:sz w:val="15"/>
              </w:rPr>
              <w:t>Strong developmental formation with AI governance not publicly established</w:t>
            </w:r>
          </w:p>
        </w:tc>
      </w:tr>
    </w:tbl>
    <w:p>
      <w:pPr>
        <w:spacing w:after="0"/>
      </w:pPr>
    </w:p>
    <w:p>
      <w:pPr>
        <w:pStyle w:val="Heading2"/>
      </w:pPr>
      <w:r>
        <w:t>Initial finding</w:t>
      </w:r>
    </w:p>
    <w:p>
      <w:r>
        <w:t>Mother of Divine Grace is evaluated only as a K through 12 program. Its strongest evidence concerns educational architecture: the curriculum follows primary, grammatical, dialectical, and rhetorical stages; parents hold an integral teaching role; consultants help individualize plans; and small online classes supplement the home program. No complete public generative-AI policy was located.</w:t>
      </w:r>
    </w:p>
    <w:p>
      <w:pPr>
        <w:pStyle w:val="Heading2"/>
      </w:pPr>
      <w:r>
        <w:t>Published rule and governance</w:t>
      </w:r>
    </w:p>
    <w:p>
      <w:r>
        <w:t>The absence of a public AI policy is recorded as an evidence gap, not permission or prohibition. Until a verified rule is available, the formation standard supports an H0 presumption for narration, memory, handwriting, arithmetic, initial composition, logical analysis, and other foundational tasks. Any AI use involving minors also requires age, consent, privacy, and parent-authority rules.</w:t>
      </w:r>
    </w:p>
    <w:p>
      <w:pPr>
        <w:pStyle w:val="Heading2"/>
      </w:pPr>
      <w:r>
        <w:t>Representative learning activity</w:t>
      </w:r>
    </w:p>
    <w:p>
      <w:r>
        <w:t>Begin with a grades 6 through 9 composition or logic sequence because it bridges learned foundations and independent argument. Preserve the lesson plan, parent role, student's notes and drafts, consultant or teacher feedback, oral discussion, grading rubric, and any digital tools used.</w:t>
      </w:r>
    </w:p>
    <w:p>
      <w:pPr>
        <w:pStyle w:val="Heading2"/>
      </w:pPr>
      <w:r>
        <w:t>Protected human performance</w:t>
      </w:r>
    </w:p>
    <w:p>
      <w:r>
        <w:t>Use the program's own human practices: oral narration, recitation, a handwritten or supervised composition, logical analysis, and discussion with a parent or teacher. The student should explain the argument and revise from human feedback before any optional AI comparison.</w:t>
      </w:r>
    </w:p>
    <w:p>
      <w:pPr>
        <w:pStyle w:val="Heading2"/>
      </w:pPr>
      <w:r>
        <w:t>Significance for the well formed mind</w:t>
      </w:r>
    </w:p>
    <w:p>
      <w:r>
        <w:t>MODG supplies the strongest family-mediated developmental model in the group. Its case can test whether a child reaches AI readiness through formed habits rather than early exposure. The unresolved policy question matters because age-specific boundaries and parent control are essential in K through 12.</w:t>
      </w:r>
    </w:p>
    <w:p>
      <w:pPr>
        <w:pStyle w:val="Heading2"/>
      </w:pPr>
      <w:r>
        <w:t>COVID wellness and relationships</w:t>
      </w:r>
    </w:p>
    <w:p>
      <w:r>
        <w:t>MODG entered 2020 with an established home-education structure and distinguished prepared homeschooling from crisis schooling. Its own account recognizes family stress, fear, isolation, and lost friendships. Comparisons must separate stable support from dysregulated family conditions and weak peer connection.</w:t>
      </w:r>
    </w:p>
    <w:p>
      <w:pPr>
        <w:pStyle w:val="Heading2"/>
      </w:pPr>
      <w:r>
        <w:t>Evidence still needed</w:t>
      </w:r>
    </w:p>
    <w:p>
      <w:pPr>
        <w:pStyle w:val="ListBullet"/>
        <w:ind w:left="389" w:hanging="216"/>
      </w:pPr>
      <w:r>
        <w:t>Official AI rules for each developmental stage, approved tools, consent, data retention, and non-AI alternatives.</w:t>
      </w:r>
    </w:p>
    <w:p>
      <w:pPr>
        <w:pStyle w:val="ListBullet"/>
        <w:ind w:left="389" w:hanging="216"/>
      </w:pPr>
      <w:r>
        <w:t>Evidence showing how families currently handle AI-enabled search, grammar tools, tutors, and online classes.</w:t>
      </w:r>
    </w:p>
    <w:p>
      <w:pPr>
        <w:pStyle w:val="ListBullet"/>
        <w:ind w:left="389" w:hanging="216"/>
      </w:pPr>
      <w:r>
        <w:t>Comparable academic, friendship, family-burden, and wellness outcomes across delivery conditions.</w:t>
      </w:r>
    </w:p>
    <w:p>
      <w:pPr>
        <w:spacing w:before="140" w:after="100"/>
      </w:pPr>
      <w:r>
        <w:rPr>
          <w:b/>
        </w:rPr>
        <w:t xml:space="preserve">Official sources  </w:t>
      </w:r>
      <w:hyperlink r:id="rId32">
        <w:r>
          <w:rPr>
            <w:color w:val="2B5370"/>
            <w:u w:val="single"/>
          </w:rPr>
          <w:t>School overview</w:t>
        </w:r>
      </w:hyperlink>
      <w:r>
        <w:t xml:space="preserve">  |  </w:t>
      </w:r>
      <w:hyperlink r:id="rId33">
        <w:r>
          <w:rPr>
            <w:color w:val="2B5370"/>
            <w:u w:val="single"/>
          </w:rPr>
          <w:t>Curriculum methodology</w:t>
        </w:r>
      </w:hyperlink>
      <w:r>
        <w:t xml:space="preserve">  |  </w:t>
      </w:r>
      <w:hyperlink r:id="rId34">
        <w:r>
          <w:rPr>
            <w:color w:val="2B5370"/>
            <w:u w:val="single"/>
          </w:rPr>
          <w:t>Curriculum stages</w:t>
        </w:r>
      </w:hyperlink>
      <w:r>
        <w:t xml:space="preserve">  |  </w:t>
      </w:r>
      <w:hyperlink r:id="rId35">
        <w:r>
          <w:rPr>
            <w:color w:val="2B5370"/>
            <w:u w:val="single"/>
          </w:rPr>
          <w:t>Crisis schooling account</w:t>
        </w:r>
      </w:hyperlink>
    </w:p>
    <w:p>
      <w:pPr>
        <w:pStyle w:val="Heading1"/>
      </w:pPr>
      <w:r>
        <w:t>Case 9  Harvard Westlake School</w:t>
      </w:r>
    </w:p>
    <w:tbl>
      <w:tblPr>
        <w:tblW w:type="auto" w:w="0"/>
        <w:jc w:val="center"/>
        <w:tblLayout w:type="fixed"/>
        <w:tblLook w:firstColumn="1" w:firstRow="1" w:lastColumn="0" w:lastRow="0" w:noHBand="0" w:noVBand="1" w:val="04A0"/>
        <w:tblBorders>
          <w:top w:val="single" w:sz="5" w:color="D3D9DD"/>
          <w:left w:val="single" w:sz="5" w:color="D3D9DD"/>
          <w:bottom w:val="single" w:sz="5" w:color="D3D9DD"/>
          <w:right w:val="single" w:sz="5" w:color="D3D9DD"/>
          <w:insideH w:val="single" w:sz="5" w:color="D3D9DD"/>
          <w:insideV w:val="single" w:sz="5" w:color="D3D9DD"/>
        </w:tblBorders>
      </w:tblPr>
      <w:tblGrid>
        <w:gridCol w:w="5141"/>
        <w:gridCol w:w="5141"/>
      </w:tblGrid>
      <w:tr>
        <w:trPr>
          <w:cantSplit/>
          <w:tblHeader w:val="true"/>
        </w:trPr>
        <w:tc>
          <w:tcPr>
            <w:tcW w:type="dxa" w:w="1944"/>
            <w:shd w:fill="173A52"/>
            <w:tcMar>
              <w:top w:w="70" w:type="dxa"/>
              <w:start w:w="85" w:type="dxa"/>
              <w:bottom w:w="70" w:type="dxa"/>
              <w:end w:w="85" w:type="dxa"/>
            </w:tcMar>
            <w:vAlign w:val="center"/>
          </w:tcPr>
          <w:p>
            <w:pPr>
              <w:jc w:val="left"/>
            </w:pPr>
            <w:r>
              <w:rPr>
                <w:b/>
                <w:color w:val="FFFFFF"/>
                <w:sz w:val="16"/>
              </w:rPr>
              <w:t>Field</w:t>
            </w:r>
          </w:p>
        </w:tc>
        <w:tc>
          <w:tcPr>
            <w:tcW w:type="dxa" w:w="8352"/>
            <w:shd w:fill="173A52"/>
            <w:tcMar>
              <w:top w:w="70" w:type="dxa"/>
              <w:start w:w="85" w:type="dxa"/>
              <w:bottom w:w="70" w:type="dxa"/>
              <w:end w:w="85" w:type="dxa"/>
            </w:tcMar>
            <w:vAlign w:val="center"/>
          </w:tcPr>
          <w:p>
            <w:pPr>
              <w:jc w:val="left"/>
            </w:pPr>
            <w:r>
              <w:rPr>
                <w:b/>
                <w:color w:val="FFFFFF"/>
                <w:sz w:val="16"/>
              </w:rPr>
              <w:t>Initial case record</w:t>
            </w:r>
          </w:p>
        </w:tc>
      </w:tr>
      <w:tr>
        <w:trPr>
          <w:cantSplit/>
        </w:trPr>
        <w:tc>
          <w:tcPr>
            <w:tcW w:type="dxa" w:w="1944"/>
            <w:tcMar>
              <w:top w:w="70" w:type="dxa"/>
              <w:start w:w="85" w:type="dxa"/>
              <w:bottom w:w="70" w:type="dxa"/>
              <w:end w:w="85" w:type="dxa"/>
            </w:tcMar>
            <w:vAlign w:val="center"/>
          </w:tcPr>
          <w:p>
            <w:pPr>
              <w:jc w:val="left"/>
            </w:pPr>
            <w:r>
              <w:rPr>
                <w:b/>
                <w:sz w:val="15"/>
              </w:rPr>
              <w:t>Institution</w:t>
            </w:r>
          </w:p>
        </w:tc>
        <w:tc>
          <w:tcPr>
            <w:tcW w:type="dxa" w:w="8352"/>
            <w:tcMar>
              <w:top w:w="70" w:type="dxa"/>
              <w:start w:w="85" w:type="dxa"/>
              <w:bottom w:w="70" w:type="dxa"/>
              <w:end w:w="85" w:type="dxa"/>
            </w:tcMar>
            <w:vAlign w:val="center"/>
          </w:tcPr>
          <w:p>
            <w:pPr>
              <w:jc w:val="left"/>
            </w:pPr>
            <w:r>
              <w:rPr>
                <w:sz w:val="15"/>
              </w:rPr>
              <w:t>Private independent school serving grades 7 through 12</w:t>
            </w:r>
          </w:p>
        </w:tc>
      </w:tr>
      <w:tr>
        <w:trPr>
          <w:cantSplit/>
        </w:trPr>
        <w:tc>
          <w:tcPr>
            <w:tcW w:type="dxa" w:w="1944"/>
            <w:shd w:fill="F7F9FA"/>
            <w:tcMar>
              <w:top w:w="70" w:type="dxa"/>
              <w:start w:w="85" w:type="dxa"/>
              <w:bottom w:w="70" w:type="dxa"/>
              <w:end w:w="85" w:type="dxa"/>
            </w:tcMar>
            <w:vAlign w:val="center"/>
          </w:tcPr>
          <w:p>
            <w:pPr>
              <w:jc w:val="left"/>
            </w:pPr>
            <w:r>
              <w:rPr>
                <w:b/>
                <w:sz w:val="15"/>
              </w:rPr>
              <w:t>Review unit</w:t>
            </w:r>
          </w:p>
        </w:tc>
        <w:tc>
          <w:tcPr>
            <w:tcW w:type="dxa" w:w="8352"/>
            <w:shd w:fill="F7F9FA"/>
            <w:tcMar>
              <w:top w:w="70" w:type="dxa"/>
              <w:start w:w="85" w:type="dxa"/>
              <w:bottom w:w="70" w:type="dxa"/>
              <w:end w:w="85" w:type="dxa"/>
            </w:tcMar>
            <w:vAlign w:val="center"/>
          </w:tcPr>
          <w:p>
            <w:pPr>
              <w:jc w:val="left"/>
            </w:pPr>
            <w:r>
              <w:rPr>
                <w:sz w:val="15"/>
              </w:rPr>
              <w:t>Ethics technology and society course in the age of AI</w:t>
            </w:r>
          </w:p>
        </w:tc>
      </w:tr>
      <w:tr>
        <w:trPr>
          <w:cantSplit/>
        </w:trPr>
        <w:tc>
          <w:tcPr>
            <w:tcW w:type="dxa" w:w="1944"/>
            <w:tcMar>
              <w:top w:w="70" w:type="dxa"/>
              <w:start w:w="85" w:type="dxa"/>
              <w:bottom w:w="70" w:type="dxa"/>
              <w:end w:w="85" w:type="dxa"/>
            </w:tcMar>
            <w:vAlign w:val="center"/>
          </w:tcPr>
          <w:p>
            <w:pPr>
              <w:jc w:val="left"/>
            </w:pPr>
            <w:r>
              <w:rPr>
                <w:b/>
                <w:sz w:val="15"/>
              </w:rPr>
              <w:t>AI condition</w:t>
            </w:r>
          </w:p>
        </w:tc>
        <w:tc>
          <w:tcPr>
            <w:tcW w:type="dxa" w:w="8352"/>
            <w:tcMar>
              <w:top w:w="70" w:type="dxa"/>
              <w:start w:w="85" w:type="dxa"/>
              <w:bottom w:w="70" w:type="dxa"/>
              <w:end w:w="85" w:type="dxa"/>
            </w:tcMar>
            <w:vAlign w:val="center"/>
          </w:tcPr>
          <w:p>
            <w:pPr>
              <w:jc w:val="left"/>
            </w:pPr>
            <w:r>
              <w:rPr>
                <w:sz w:val="15"/>
              </w:rPr>
              <w:t>S1 for structured inquiry; H0 needed for writing and oral verification</w:t>
            </w:r>
          </w:p>
        </w:tc>
      </w:tr>
      <w:tr>
        <w:trPr>
          <w:cantSplit/>
        </w:trPr>
        <w:tc>
          <w:tcPr>
            <w:tcW w:type="dxa" w:w="1944"/>
            <w:shd w:fill="F7F9FA"/>
            <w:tcMar>
              <w:top w:w="70" w:type="dxa"/>
              <w:start w:w="85" w:type="dxa"/>
              <w:bottom w:w="70" w:type="dxa"/>
              <w:end w:w="85" w:type="dxa"/>
            </w:tcMar>
            <w:vAlign w:val="center"/>
          </w:tcPr>
          <w:p>
            <w:pPr>
              <w:jc w:val="left"/>
            </w:pPr>
            <w:r>
              <w:rPr>
                <w:b/>
                <w:sz w:val="15"/>
              </w:rPr>
              <w:t>Current status</w:t>
            </w:r>
          </w:p>
        </w:tc>
        <w:tc>
          <w:tcPr>
            <w:tcW w:type="dxa" w:w="8352"/>
            <w:shd w:fill="F7F9FA"/>
            <w:tcMar>
              <w:top w:w="70" w:type="dxa"/>
              <w:start w:w="85" w:type="dxa"/>
              <w:bottom w:w="70" w:type="dxa"/>
              <w:end w:w="85" w:type="dxa"/>
            </w:tcMar>
            <w:vAlign w:val="center"/>
          </w:tcPr>
          <w:p>
            <w:pPr>
              <w:jc w:val="left"/>
            </w:pPr>
            <w:r>
              <w:rPr>
                <w:sz w:val="15"/>
              </w:rPr>
              <w:t>Visible AI ethics curriculum with schoolwide operating rules unresolved</w:t>
            </w:r>
          </w:p>
        </w:tc>
      </w:tr>
    </w:tbl>
    <w:p>
      <w:pPr>
        <w:spacing w:after="0"/>
      </w:pPr>
    </w:p>
    <w:p>
      <w:pPr>
        <w:pStyle w:val="Heading2"/>
      </w:pPr>
      <w:r>
        <w:t>Initial finding</w:t>
      </w:r>
    </w:p>
    <w:p>
      <w:r>
        <w:t>Harvard-Westlake's 2026 through 2027 curriculum guide includes a course on ethics, technology, and society in the age of artificial intelligence. The school also emphasizes independent thinking, integrity, interdisciplinary research, counseling, and wellness. Publicly accessible material does not yet establish one grades 7 through 12 AI-use framework.</w:t>
      </w:r>
    </w:p>
    <w:p>
      <w:pPr>
        <w:pStyle w:val="Heading2"/>
      </w:pPr>
      <w:r>
        <w:t>Published rule and governance</w:t>
      </w:r>
    </w:p>
    <w:p>
      <w:r>
        <w:t>Course-level expectations may exist behind student or parent portals, but they should not be inferred from the catalog. The case file must capture the actual syllabus, permitted tools, disclosure rule, age and consent requirements, privacy review, and the distinction between middle-school and upper-school use.</w:t>
      </w:r>
    </w:p>
    <w:p>
      <w:pPr>
        <w:pStyle w:val="Heading2"/>
      </w:pPr>
      <w:r>
        <w:t>Representative learning activity</w:t>
      </w:r>
    </w:p>
    <w:p>
      <w:r>
        <w:t>Study the AI ethics course through one problem-based inquiry. Preserve assigned readings, student research, any AI prompts, source verification, discussion, written argument, and final presentation. Add a comparison with a conventional middle-school writing task where AI is not used.</w:t>
      </w:r>
    </w:p>
    <w:p>
      <w:pPr>
        <w:pStyle w:val="Heading2"/>
      </w:pPr>
      <w:r>
        <w:t>Protected human performance</w:t>
      </w:r>
    </w:p>
    <w:p>
      <w:r>
        <w:t>Require an individually authored essay segment and an oral response to objections. A supervised source-evaluation exercise should test whether the student can detect unsupported claims, explain ethical principles, and distinguish personal judgment from generated language.</w:t>
      </w:r>
    </w:p>
    <w:p>
      <w:pPr>
        <w:pStyle w:val="Heading2"/>
      </w:pPr>
      <w:r>
        <w:t>Significance for the well formed mind</w:t>
      </w:r>
    </w:p>
    <w:p>
      <w:r>
        <w:t>The case can show whether studying AI ethically also forms the ability to resist convenient outsourcing. Because the school spans grades 7 through 12, a single rule would be inadequate unless it distinguishes developmental readiness and preserves parent notice and alternatives.</w:t>
      </w:r>
    </w:p>
    <w:p>
      <w:pPr>
        <w:pStyle w:val="Heading2"/>
      </w:pPr>
      <w:r>
        <w:t>COVID wellness and relationships</w:t>
      </w:r>
    </w:p>
    <w:p>
      <w:r>
        <w:t>The school's wellness and support system is visible, but a public longitudinal comparison was not located. Review should include friendship, belonging, sleep, workload, counseling, family expectations, and whether AI changes reliance on teachers or peers.</w:t>
      </w:r>
    </w:p>
    <w:p>
      <w:pPr>
        <w:pStyle w:val="Heading2"/>
      </w:pPr>
      <w:r>
        <w:t>Evidence still needed</w:t>
      </w:r>
    </w:p>
    <w:p>
      <w:pPr>
        <w:pStyle w:val="ListBullet"/>
        <w:ind w:left="389" w:hanging="216"/>
      </w:pPr>
      <w:r>
        <w:t>The course syllabus, actual AI permissions, assignments, rubrics, and student work.</w:t>
      </w:r>
    </w:p>
    <w:p>
      <w:pPr>
        <w:pStyle w:val="ListBullet"/>
        <w:ind w:left="389" w:hanging="216"/>
      </w:pPr>
      <w:r>
        <w:t>Schoolwide or division-level rules for privacy, disclosure, age, consent, and academic integrity.</w:t>
      </w:r>
    </w:p>
    <w:p>
      <w:pPr>
        <w:pStyle w:val="ListBullet"/>
        <w:ind w:left="389" w:hanging="216"/>
      </w:pPr>
      <w:r>
        <w:t>Independent learning and wellness evidence by grade and prior support condition.</w:t>
      </w:r>
    </w:p>
    <w:p>
      <w:pPr>
        <w:spacing w:before="140" w:after="100"/>
      </w:pPr>
      <w:r>
        <w:rPr>
          <w:b/>
        </w:rPr>
        <w:t xml:space="preserve">Official sources  </w:t>
      </w:r>
      <w:hyperlink r:id="rId36">
        <w:r>
          <w:rPr>
            <w:color w:val="2B5370"/>
            <w:u w:val="single"/>
          </w:rPr>
          <w:t>2026 through 2027 curriculum guide</w:t>
        </w:r>
      </w:hyperlink>
      <w:r>
        <w:t xml:space="preserve">  |  </w:t>
      </w:r>
      <w:hyperlink r:id="rId37">
        <w:r>
          <w:rPr>
            <w:color w:val="2B5370"/>
            <w:u w:val="single"/>
          </w:rPr>
          <w:t>Independent research</w:t>
        </w:r>
      </w:hyperlink>
      <w:r>
        <w:t xml:space="preserve">  |  </w:t>
      </w:r>
      <w:hyperlink r:id="rId38">
        <w:r>
          <w:rPr>
            <w:color w:val="2B5370"/>
            <w:u w:val="single"/>
          </w:rPr>
          <w:t>Health and wellness</w:t>
        </w:r>
      </w:hyperlink>
    </w:p>
    <w:p>
      <w:pPr>
        <w:pStyle w:val="Heading1"/>
      </w:pPr>
      <w:r>
        <w:t>Case 10  High Tech High</w:t>
      </w:r>
    </w:p>
    <w:tbl>
      <w:tblPr>
        <w:tblW w:type="auto" w:w="0"/>
        <w:jc w:val="center"/>
        <w:tblLayout w:type="fixed"/>
        <w:tblLook w:firstColumn="1" w:firstRow="1" w:lastColumn="0" w:lastRow="0" w:noHBand="0" w:noVBand="1" w:val="04A0"/>
        <w:tblBorders>
          <w:top w:val="single" w:sz="5" w:color="D3D9DD"/>
          <w:left w:val="single" w:sz="5" w:color="D3D9DD"/>
          <w:bottom w:val="single" w:sz="5" w:color="D3D9DD"/>
          <w:right w:val="single" w:sz="5" w:color="D3D9DD"/>
          <w:insideH w:val="single" w:sz="5" w:color="D3D9DD"/>
          <w:insideV w:val="single" w:sz="5" w:color="D3D9DD"/>
        </w:tblBorders>
      </w:tblPr>
      <w:tblGrid>
        <w:gridCol w:w="5141"/>
        <w:gridCol w:w="5141"/>
      </w:tblGrid>
      <w:tr>
        <w:trPr>
          <w:cantSplit/>
          <w:tblHeader w:val="true"/>
        </w:trPr>
        <w:tc>
          <w:tcPr>
            <w:tcW w:type="dxa" w:w="1944"/>
            <w:shd w:fill="173A52"/>
            <w:tcMar>
              <w:top w:w="70" w:type="dxa"/>
              <w:start w:w="85" w:type="dxa"/>
              <w:bottom w:w="70" w:type="dxa"/>
              <w:end w:w="85" w:type="dxa"/>
            </w:tcMar>
            <w:vAlign w:val="center"/>
          </w:tcPr>
          <w:p>
            <w:pPr>
              <w:jc w:val="left"/>
            </w:pPr>
            <w:r>
              <w:rPr>
                <w:b/>
                <w:color w:val="FFFFFF"/>
                <w:sz w:val="16"/>
              </w:rPr>
              <w:t>Field</w:t>
            </w:r>
          </w:p>
        </w:tc>
        <w:tc>
          <w:tcPr>
            <w:tcW w:type="dxa" w:w="8352"/>
            <w:shd w:fill="173A52"/>
            <w:tcMar>
              <w:top w:w="70" w:type="dxa"/>
              <w:start w:w="85" w:type="dxa"/>
              <w:bottom w:w="70" w:type="dxa"/>
              <w:end w:w="85" w:type="dxa"/>
            </w:tcMar>
            <w:vAlign w:val="center"/>
          </w:tcPr>
          <w:p>
            <w:pPr>
              <w:jc w:val="left"/>
            </w:pPr>
            <w:r>
              <w:rPr>
                <w:b/>
                <w:color w:val="FFFFFF"/>
                <w:sz w:val="16"/>
              </w:rPr>
              <w:t>Initial case record</w:t>
            </w:r>
          </w:p>
        </w:tc>
      </w:tr>
      <w:tr>
        <w:trPr>
          <w:cantSplit/>
        </w:trPr>
        <w:tc>
          <w:tcPr>
            <w:tcW w:type="dxa" w:w="1944"/>
            <w:tcMar>
              <w:top w:w="70" w:type="dxa"/>
              <w:start w:w="85" w:type="dxa"/>
              <w:bottom w:w="70" w:type="dxa"/>
              <w:end w:w="85" w:type="dxa"/>
            </w:tcMar>
            <w:vAlign w:val="center"/>
          </w:tcPr>
          <w:p>
            <w:pPr>
              <w:jc w:val="left"/>
            </w:pPr>
            <w:r>
              <w:rPr>
                <w:b/>
                <w:sz w:val="15"/>
              </w:rPr>
              <w:t>Institution</w:t>
            </w:r>
          </w:p>
        </w:tc>
        <w:tc>
          <w:tcPr>
            <w:tcW w:type="dxa" w:w="8352"/>
            <w:tcMar>
              <w:top w:w="70" w:type="dxa"/>
              <w:start w:w="85" w:type="dxa"/>
              <w:bottom w:w="70" w:type="dxa"/>
              <w:end w:w="85" w:type="dxa"/>
            </w:tcMar>
            <w:vAlign w:val="center"/>
          </w:tcPr>
          <w:p>
            <w:pPr>
              <w:jc w:val="left"/>
            </w:pPr>
            <w:r>
              <w:rPr>
                <w:sz w:val="15"/>
              </w:rPr>
              <w:t>Public charter K through 12 network</w:t>
            </w:r>
          </w:p>
        </w:tc>
      </w:tr>
      <w:tr>
        <w:trPr>
          <w:cantSplit/>
        </w:trPr>
        <w:tc>
          <w:tcPr>
            <w:tcW w:type="dxa" w:w="1944"/>
            <w:shd w:fill="F7F9FA"/>
            <w:tcMar>
              <w:top w:w="70" w:type="dxa"/>
              <w:start w:w="85" w:type="dxa"/>
              <w:bottom w:w="70" w:type="dxa"/>
              <w:end w:w="85" w:type="dxa"/>
            </w:tcMar>
            <w:vAlign w:val="center"/>
          </w:tcPr>
          <w:p>
            <w:pPr>
              <w:jc w:val="left"/>
            </w:pPr>
            <w:r>
              <w:rPr>
                <w:b/>
                <w:sz w:val="15"/>
              </w:rPr>
              <w:t>Review unit</w:t>
            </w:r>
          </w:p>
        </w:tc>
        <w:tc>
          <w:tcPr>
            <w:tcW w:type="dxa" w:w="8352"/>
            <w:shd w:fill="F7F9FA"/>
            <w:tcMar>
              <w:top w:w="70" w:type="dxa"/>
              <w:start w:w="85" w:type="dxa"/>
              <w:bottom w:w="70" w:type="dxa"/>
              <w:end w:w="85" w:type="dxa"/>
            </w:tcMar>
            <w:vAlign w:val="center"/>
          </w:tcPr>
          <w:p>
            <w:pPr>
              <w:jc w:val="left"/>
            </w:pPr>
            <w:r>
              <w:rPr>
                <w:sz w:val="15"/>
              </w:rPr>
              <w:t>Board approved AI policy and an exhibition based student project</w:t>
            </w:r>
          </w:p>
        </w:tc>
      </w:tr>
      <w:tr>
        <w:trPr>
          <w:cantSplit/>
        </w:trPr>
        <w:tc>
          <w:tcPr>
            <w:tcW w:type="dxa" w:w="1944"/>
            <w:tcMar>
              <w:top w:w="70" w:type="dxa"/>
              <w:start w:w="85" w:type="dxa"/>
              <w:bottom w:w="70" w:type="dxa"/>
              <w:end w:w="85" w:type="dxa"/>
            </w:tcMar>
            <w:vAlign w:val="center"/>
          </w:tcPr>
          <w:p>
            <w:pPr>
              <w:jc w:val="left"/>
            </w:pPr>
            <w:r>
              <w:rPr>
                <w:b/>
                <w:sz w:val="15"/>
              </w:rPr>
              <w:t>AI condition</w:t>
            </w:r>
          </w:p>
        </w:tc>
        <w:tc>
          <w:tcPr>
            <w:tcW w:type="dxa" w:w="8352"/>
            <w:tcMar>
              <w:top w:w="70" w:type="dxa"/>
              <w:start w:w="85" w:type="dxa"/>
              <w:bottom w:w="70" w:type="dxa"/>
              <w:end w:w="85" w:type="dxa"/>
            </w:tcMar>
            <w:vAlign w:val="center"/>
          </w:tcPr>
          <w:p>
            <w:pPr>
              <w:jc w:val="left"/>
            </w:pPr>
            <w:r>
              <w:rPr>
                <w:sz w:val="15"/>
              </w:rPr>
              <w:t>Teacher-selected S1 with age-specific H0 foundations still to verify</w:t>
            </w:r>
          </w:p>
        </w:tc>
      </w:tr>
      <w:tr>
        <w:trPr>
          <w:cantSplit/>
        </w:trPr>
        <w:tc>
          <w:tcPr>
            <w:tcW w:type="dxa" w:w="1944"/>
            <w:shd w:fill="F7F9FA"/>
            <w:tcMar>
              <w:top w:w="70" w:type="dxa"/>
              <w:start w:w="85" w:type="dxa"/>
              <w:bottom w:w="70" w:type="dxa"/>
              <w:end w:w="85" w:type="dxa"/>
            </w:tcMar>
            <w:vAlign w:val="center"/>
          </w:tcPr>
          <w:p>
            <w:pPr>
              <w:jc w:val="left"/>
            </w:pPr>
            <w:r>
              <w:rPr>
                <w:b/>
                <w:sz w:val="15"/>
              </w:rPr>
              <w:t>Current status</w:t>
            </w:r>
          </w:p>
        </w:tc>
        <w:tc>
          <w:tcPr>
            <w:tcW w:type="dxa" w:w="8352"/>
            <w:shd w:fill="F7F9FA"/>
            <w:tcMar>
              <w:top w:w="70" w:type="dxa"/>
              <w:start w:w="85" w:type="dxa"/>
              <w:bottom w:w="70" w:type="dxa"/>
              <w:end w:w="85" w:type="dxa"/>
            </w:tcMar>
            <w:vAlign w:val="center"/>
          </w:tcPr>
          <w:p>
            <w:pPr>
              <w:jc w:val="left"/>
            </w:pPr>
            <w:r>
              <w:rPr>
                <w:sz w:val="15"/>
              </w:rPr>
              <w:t>Board governance and student voice are established but full policy text remains to capture</w:t>
            </w:r>
          </w:p>
        </w:tc>
      </w:tr>
    </w:tbl>
    <w:p>
      <w:pPr>
        <w:spacing w:after="0"/>
      </w:pPr>
    </w:p>
    <w:p>
      <w:pPr>
        <w:pStyle w:val="Heading2"/>
      </w:pPr>
      <w:r>
        <w:t>Initial finding</w:t>
      </w:r>
    </w:p>
    <w:p>
      <w:r>
        <w:t>High Tech High's board approved an Artificial Intelligence Use Policy on May 28, 2025 after a process involving feedback from students, staff, and the High Tech Education Collective. The discussion emphasized safety, optional teacher use, broad language that could be revised, handbook consequences, and resources for teachers. The public minutes establish adoption but do not reproduce the full policy.</w:t>
      </w:r>
    </w:p>
    <w:p>
      <w:pPr>
        <w:pStyle w:val="Heading2"/>
      </w:pPr>
      <w:r>
        <w:t>Published rule and governance</w:t>
      </w:r>
    </w:p>
    <w:p>
      <w:r>
        <w:t>The board record says the policy would be referenced in the student and staff handbooks and connected to consequences for violations. An earlier student presentation recommended reserving ChatGPT for higher grades, protecting fundamental grammar in elementary and middle school, and using AI as a guide rather than an answer. Those student recommendations are evidence of deliberation, not the final policy text.</w:t>
      </w:r>
    </w:p>
    <w:p>
      <w:pPr>
        <w:pStyle w:val="Heading2"/>
      </w:pPr>
      <w:r>
        <w:t>Representative learning activity</w:t>
      </w:r>
    </w:p>
    <w:p>
      <w:r>
        <w:t>Select one middle- or high-school project that culminates in a public exhibition. Preserve the project brief, individual and group roles, teacher's AI rule, prompts and outputs, drafts, critique, revision, community feedback, and the student's final presentation. Add an elementary foundational task as an age comparison.</w:t>
      </w:r>
    </w:p>
    <w:p>
      <w:pPr>
        <w:pStyle w:val="Heading2"/>
      </w:pPr>
      <w:r>
        <w:t>Protected human performance</w:t>
      </w:r>
    </w:p>
    <w:p>
      <w:r>
        <w:t>Inside collaborative work, require an individual process conference, oral defense, or supervised construction task. Each student should explain core knowledge, justify design choices, identify personal contributions, and respond to a new problem without AI.</w:t>
      </w:r>
    </w:p>
    <w:p>
      <w:pPr>
        <w:pStyle w:val="Heading2"/>
      </w:pPr>
      <w:r>
        <w:t>Significance for the well formed mind</w:t>
      </w:r>
    </w:p>
    <w:p>
      <w:r>
        <w:t>High Tech High is the strongest public K through 12 test of whether AI can support authentic projects without hiding weak individual mastery. The board process also creates a record of institutional authority and student and staff participation that can be compared with parent and public influence.</w:t>
      </w:r>
    </w:p>
    <w:p>
      <w:pPr>
        <w:pStyle w:val="Heading2"/>
      </w:pPr>
      <w:r>
        <w:t>COVID wellness and relationships</w:t>
      </w:r>
    </w:p>
    <w:p>
      <w:r>
        <w:t>Learning-recovery funding and post-COVID enrollment assumptions appear in board records. The case should connect recovery evidence to instruction only where data permit and should examine attendance, belonging, family burden, friendship, attention, and access to adult support.</w:t>
      </w:r>
    </w:p>
    <w:p>
      <w:pPr>
        <w:pStyle w:val="Heading2"/>
      </w:pPr>
      <w:r>
        <w:t>Evidence still needed</w:t>
      </w:r>
    </w:p>
    <w:p>
      <w:pPr>
        <w:pStyle w:val="ListBullet"/>
        <w:ind w:left="389" w:hanging="216"/>
      </w:pPr>
      <w:r>
        <w:t>The complete adopted policy, revision history, approved tools, age rules, consent, privacy review, and annual review process.</w:t>
      </w:r>
    </w:p>
    <w:p>
      <w:pPr>
        <w:pStyle w:val="ListBullet"/>
        <w:ind w:left="389" w:hanging="216"/>
      </w:pPr>
      <w:r>
        <w:t>Evidence that each school and grade implements the policy consistently.</w:t>
      </w:r>
    </w:p>
    <w:p>
      <w:pPr>
        <w:pStyle w:val="ListBullet"/>
        <w:ind w:left="389" w:hanging="216"/>
      </w:pPr>
      <w:r>
        <w:t>Individual mastery, authorship, wellness, and equity outcomes inside AI-assisted group projects.</w:t>
      </w:r>
    </w:p>
    <w:p>
      <w:pPr>
        <w:spacing w:before="140" w:after="100"/>
      </w:pPr>
      <w:r>
        <w:rPr>
          <w:b/>
        </w:rPr>
        <w:t xml:space="preserve">Official sources  </w:t>
      </w:r>
      <w:hyperlink r:id="rId39">
        <w:r>
          <w:rPr>
            <w:color w:val="2B5370"/>
            <w:u w:val="single"/>
          </w:rPr>
          <w:t>May 2025 board minutes</w:t>
        </w:r>
      </w:hyperlink>
      <w:r>
        <w:t xml:space="preserve">  |  </w:t>
      </w:r>
      <w:hyperlink r:id="rId40">
        <w:r>
          <w:rPr>
            <w:color w:val="2B5370"/>
            <w:u w:val="single"/>
          </w:rPr>
          <w:t>December 2023 board minutes</w:t>
        </w:r>
      </w:hyperlink>
      <w:r>
        <w:t xml:space="preserve">  |  </w:t>
      </w:r>
      <w:hyperlink r:id="rId41">
        <w:r>
          <w:rPr>
            <w:color w:val="2B5370"/>
            <w:u w:val="single"/>
          </w:rPr>
          <w:t>Design principles</w:t>
        </w:r>
      </w:hyperlink>
      <w:r>
        <w:t xml:space="preserve">  |  </w:t>
      </w:r>
      <w:hyperlink r:id="rId42">
        <w:r>
          <w:rPr>
            <w:color w:val="2B5370"/>
            <w:u w:val="single"/>
          </w:rPr>
          <w:t>Student and parent handbook</w:t>
        </w:r>
      </w:hyperlink>
    </w:p>
    <w:p>
      <w:pPr>
        <w:pStyle w:val="Heading1"/>
      </w:pPr>
      <w:r>
        <w:t>Cross case findings</w:t>
      </w:r>
    </w:p>
    <w:p>
      <w:r>
        <w:rPr>
          <w:b/>
        </w:rPr>
        <w:t xml:space="preserve">Formation first  </w:t>
      </w:r>
      <w:r>
        <w:t>The best case files begin with the mental act education intends to develop. A rule is defensible when it protects that act and when later assessment shows the learner can perform it independently.</w:t>
      </w:r>
    </w:p>
    <w:p>
      <w:r>
        <w:rPr>
          <w:b/>
        </w:rPr>
        <w:t xml:space="preserve">Governance does not prove learning  </w:t>
      </w:r>
      <w:r>
        <w:t>Licensed tools, committees, training, privacy terms, and course templates are necessary evidence of responsible administration. They do not establish memory, reasoning, judgment, authorship, or transfer after assistance ends.</w:t>
      </w:r>
    </w:p>
    <w:p>
      <w:r>
        <w:rPr>
          <w:b/>
        </w:rPr>
        <w:t xml:space="preserve">Restriction can be educationally positive  </w:t>
      </w:r>
      <w:r>
        <w:t>Thomas Aquinas College and Berkeley Law show that a prohibition may protect the work by which professional or liberal judgment develops. The justification, scope, accessibility, and independent outcome should still be examined.</w:t>
      </w:r>
    </w:p>
    <w:p>
      <w:r>
        <w:rPr>
          <w:b/>
        </w:rPr>
        <w:t xml:space="preserve">Participation needs verification  </w:t>
      </w:r>
      <w:r>
        <w:t>Stanford and High Tech High show the value of student voice, deliberation, collaboration, and authentic projects. Individual oral or supervised checks are still needed so strong group work does not conceal weak personal mastery.</w:t>
      </w:r>
    </w:p>
    <w:p>
      <w:r>
        <w:rPr>
          <w:b/>
        </w:rPr>
        <w:t xml:space="preserve">K through 12 requires developmental rules  </w:t>
      </w:r>
      <w:r>
        <w:t>Mother of Divine Grace, Harvard-Westlake, and High Tech High should be judged by age, parent authority, consent, privacy, foundational knowledge, and gradual transfer of responsibility. University criteria should not be imposed on children.</w:t>
      </w:r>
    </w:p>
    <w:p>
      <w:r>
        <w:rPr>
          <w:b/>
        </w:rPr>
        <w:t xml:space="preserve">Wellness requires human evidence  </w:t>
      </w:r>
      <w:r>
        <w:t>Attention, frustration tolerance, trust, belonging, friendship, family stability, workload, and help-seeking are relevant to formation. Policy pages cannot establish these outcomes. They require valid measures and careful comparison across pre-COVID, disruption, recovery, and AI-era conditions.</w:t>
      </w:r>
    </w:p>
    <w:p>
      <w:pPr>
        <w:pStyle w:val="Heading1"/>
      </w:pPr>
      <w:r>
        <w:t>Phase Nine handoff</w:t>
      </w:r>
    </w:p>
    <w:p>
      <w:r>
        <w:t>The next phase should convert these initial case files into an evidence ledger. For every institution, it should archive the exact policy and assignment record, mark each claim as verified, partial, missing, restricted, or superseded, and score the strength of the protected human-performance evidence. The first priority captures are the full High Tech High policy, Thomas Aquinas College's senior-thesis handout, Mother of Divine Grace's age-specific AI guidance if one exists, Harvard-Westlake's course syllabus and school rules, and implemented understanding checks at Stanford or comparable assessments elsewhere.</w:t>
      </w:r>
    </w:p>
    <w:sectPr w:rsidR="00FC693F" w:rsidRPr="0006063C" w:rsidSect="00034616">
      <w:pgSz w:w="12240" w:h="15840"/>
      <w:pgMar w:top="950" w:right="979" w:bottom="92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4" w:line="250" w:lineRule="auto"/>
    </w:pPr>
    <w:rPr>
      <w:rFonts w:ascii="Aptos" w:hAnsi="Aptos"/>
      <w:color w:val="30363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4"/>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i.berkeley.edu/" TargetMode="External"/><Relationship Id="rId10" Type="http://schemas.openxmlformats.org/officeDocument/2006/relationships/hyperlink" Target="https://teaching.berkeley.edu/teaching-guides-resources/ai-teaching-learning" TargetMode="External"/><Relationship Id="rId11" Type="http://schemas.openxmlformats.org/officeDocument/2006/relationships/hyperlink" Target="https://www.law.berkeley.edu/article/artificial-intelligence-policy-questions-and-answers/" TargetMode="External"/><Relationship Id="rId12" Type="http://schemas.openxmlformats.org/officeDocument/2006/relationships/hyperlink" Target="https://teaching.ucla.edu/special-initiatives/generative-ai-in-teaching-learning/" TargetMode="External"/><Relationship Id="rId13" Type="http://schemas.openxmlformats.org/officeDocument/2006/relationships/hyperlink" Target="https://dts.ucla.edu/initiatives/ai/guiding-principles-responsible-use" TargetMode="External"/><Relationship Id="rId14" Type="http://schemas.openxmlformats.org/officeDocument/2006/relationships/hyperlink" Target="https://teaching.ucla.edu/resources/ai-course-policy/" TargetMode="External"/><Relationship Id="rId15" Type="http://schemas.openxmlformats.org/officeDocument/2006/relationships/hyperlink" Target="https://news.stanford.edu/stories/2026/05/ai-policy-proposal-students-critical-thinking" TargetMode="External"/><Relationship Id="rId16" Type="http://schemas.openxmlformats.org/officeDocument/2006/relationships/hyperlink" Target="https://ctl.stanford.edu/aimes/ai-learning-guide-students" TargetMode="External"/><Relationship Id="rId17" Type="http://schemas.openxmlformats.org/officeDocument/2006/relationships/hyperlink" Target="https://teachingcommons.stanford.edu/teaching-guides/artificial-intelligence-teaching-guide/creating-your-course-policy-ai" TargetMode="External"/><Relationship Id="rId18" Type="http://schemas.openxmlformats.org/officeDocument/2006/relationships/hyperlink" Target="https://www.provost.usc.edu/faculty-guidance-chatgpt-edu-spring-2026/" TargetMode="External"/><Relationship Id="rId19" Type="http://schemas.openxmlformats.org/officeDocument/2006/relationships/hyperlink" Target="https://itservices.usc.edu/ai/chatgpt-edu-at-usc/" TargetMode="External"/><Relationship Id="rId20" Type="http://schemas.openxmlformats.org/officeDocument/2006/relationships/hyperlink" Target="https://academicintegrity.usc.edu/generative-ai-and-chatgpt-edu/" TargetMode="External"/><Relationship Id="rId21" Type="http://schemas.openxmlformats.org/officeDocument/2006/relationships/hyperlink" Target="https://www.imss.caltech.edu/services/ai" TargetMode="External"/><Relationship Id="rId22" Type="http://schemas.openxmlformats.org/officeDocument/2006/relationships/hyperlink" Target="https://aiinteaching.caltech.edu/" TargetMode="External"/><Relationship Id="rId23" Type="http://schemas.openxmlformats.org/officeDocument/2006/relationships/hyperlink" Target="https://www.hss.caltech.edu/hss-policies/hss-policy-on-generative-ai" TargetMode="External"/><Relationship Id="rId24" Type="http://schemas.openxmlformats.org/officeDocument/2006/relationships/hyperlink" Target="https://techpolicy.caltech.edu/2024/01/24/teaching-ethics-ai-in-the-wake-of-chatgpt/" TargetMode="External"/><Relationship Id="rId25" Type="http://schemas.openxmlformats.org/officeDocument/2006/relationships/hyperlink" Target="https://academics.lmu.edu/cfd/resources/teachinghub/aiinteachinglearning/" TargetMode="External"/><Relationship Id="rId26" Type="http://schemas.openxmlformats.org/officeDocument/2006/relationships/hyperlink" Target="https://its.lmu.edu/ai/aitoolsservices/" TargetMode="External"/><Relationship Id="rId27" Type="http://schemas.openxmlformats.org/officeDocument/2006/relationships/hyperlink" Target="https://academics.lmu.edu/officeofacademicaffairs/academichonesty/ai/" TargetMode="External"/><Relationship Id="rId28" Type="http://schemas.openxmlformats.org/officeDocument/2006/relationships/hyperlink" Target="https://www.thomasaquinas.edu/students/california-code-conduct" TargetMode="External"/><Relationship Id="rId29" Type="http://schemas.openxmlformats.org/officeDocument/2006/relationships/hyperlink" Target="https://www.thomasaquinas.edu/a-liberating-education/syllabus" TargetMode="External"/><Relationship Id="rId30" Type="http://schemas.openxmlformats.org/officeDocument/2006/relationships/hyperlink" Target="https://www.thomasaquinas.edu/ai" TargetMode="External"/><Relationship Id="rId31" Type="http://schemas.openxmlformats.org/officeDocument/2006/relationships/hyperlink" Target="https://www.thomasaquinas.edu/news/how-classical-college-made-quick-leap-online-learning" TargetMode="External"/><Relationship Id="rId32" Type="http://schemas.openxmlformats.org/officeDocument/2006/relationships/hyperlink" Target="https://modg.org/" TargetMode="External"/><Relationship Id="rId33" Type="http://schemas.openxmlformats.org/officeDocument/2006/relationships/hyperlink" Target="https://modg.org/curriculum/methodology" TargetMode="External"/><Relationship Id="rId34" Type="http://schemas.openxmlformats.org/officeDocument/2006/relationships/hyperlink" Target="https://modg.org/curriculum/methodologycontent" TargetMode="External"/><Relationship Id="rId35" Type="http://schemas.openxmlformats.org/officeDocument/2006/relationships/hyperlink" Target="https://modg.org/articles/2020-05-04-crisis-schooling-isnt-homeschooling" TargetMode="External"/><Relationship Id="rId36" Type="http://schemas.openxmlformats.org/officeDocument/2006/relationships/hyperlink" Target="https://www.hw.com/academics/About-the-Curriculum/Course-Descriptions" TargetMode="External"/><Relationship Id="rId37" Type="http://schemas.openxmlformats.org/officeDocument/2006/relationships/hyperlink" Target="https://academics.hw.com/kutlercenter" TargetMode="External"/><Relationship Id="rId38" Type="http://schemas.openxmlformats.org/officeDocument/2006/relationships/hyperlink" Target="https://www.hw.com/life-at-hw/Health-and-Wellness" TargetMode="External"/><Relationship Id="rId39" Type="http://schemas.openxmlformats.org/officeDocument/2006/relationships/hyperlink" Target="https://www.hightechhigh.org/wp-content/uploads/2025/07/Item-1.1-Approve-the-May-28-2025-Regular-Meeting-Minutes-1.pdf" TargetMode="External"/><Relationship Id="rId40" Type="http://schemas.openxmlformats.org/officeDocument/2006/relationships/hyperlink" Target="https://www.hightechhigh.org/wp-content/uploads/2024/02/Item-1.1-Approve-the-December-11-2023-Annual-Meeting-Minutes-2.pdf" TargetMode="External"/><Relationship Id="rId41" Type="http://schemas.openxmlformats.org/officeDocument/2006/relationships/hyperlink" Target="https://www.hightechhigh.org/about/" TargetMode="External"/><Relationship Id="rId42" Type="http://schemas.openxmlformats.org/officeDocument/2006/relationships/hyperlink" Target="https://www.hightechhigh.org/student-parent-hand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