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Pilot Packet Dry Run</w:t>
      </w:r>
    </w:p>
    <w:p>
      <w:pPr>
        <w:spacing w:after="40"/>
      </w:pPr>
      <w:r>
        <w:rPr>
          <w:b/>
          <w:color w:val="194058"/>
          <w:sz w:val="22"/>
        </w:rPr>
        <w:t>Phase Thirteen  Synthetic validation and rater calibration preparation</w:t>
      </w:r>
    </w:p>
    <w:p>
      <w:r>
        <w:t>Review date September 13 2026  Informational research design  No outreach or personal attribution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240"/>
            <w:vAlign w:val="center"/>
            <w:shd w:fill="193F58"/>
            <w:tcMar>
              <w:top w:w="72" w:type="dxa"/>
              <w:start w:w="84" w:type="dxa"/>
              <w:bottom w:w="72" w:type="dxa"/>
              <w:end w:w="84" w:type="dxa"/>
            </w:tcMar>
          </w:tcPr>
          <w:p>
            <w:pPr>
              <w:spacing w:after="0"/>
            </w:pPr>
            <w:r>
              <w:rPr>
                <w:b/>
                <w:color w:val="FFFFFF"/>
                <w:sz w:val="16"/>
              </w:rPr>
              <w:t>Review field</w:t>
            </w:r>
          </w:p>
        </w:tc>
        <w:tc>
          <w:tcPr>
            <w:tcW w:type="dxa" w:w="6984"/>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240"/>
            <w:vAlign w:val="center"/>
            <w:tcMar>
              <w:top w:w="72" w:type="dxa"/>
              <w:start w:w="84" w:type="dxa"/>
              <w:bottom w:w="72" w:type="dxa"/>
              <w:end w:w="84" w:type="dxa"/>
            </w:tcMar>
          </w:tcPr>
          <w:p>
            <w:pPr>
              <w:spacing w:after="0"/>
            </w:pPr>
            <w:r>
              <w:rPr>
                <w:b/>
                <w:sz w:val="16"/>
              </w:rPr>
              <w:t>Responsible person</w:t>
            </w:r>
          </w:p>
        </w:tc>
        <w:tc>
          <w:tcPr>
            <w:tcW w:type="dxa" w:w="6984"/>
            <w:vAlign w:val="center"/>
            <w:tcMar>
              <w:top w:w="72" w:type="dxa"/>
              <w:start w:w="84" w:type="dxa"/>
              <w:bottom w:w="72" w:type="dxa"/>
              <w:end w:w="84" w:type="dxa"/>
            </w:tcMar>
          </w:tcPr>
          <w:p>
            <w:pPr>
              <w:spacing w:after="0"/>
            </w:pPr>
            <w:r>
              <w:rPr>
                <w:b w:val="0"/>
                <w:sz w:val="16"/>
              </w:rPr>
              <w:t>________________________________________</w:t>
            </w:r>
          </w:p>
        </w:tc>
      </w:tr>
      <w:tr>
        <w:trPr>
          <w:cantSplit/>
        </w:trPr>
        <w:tc>
          <w:tcPr>
            <w:tcW w:type="dxa" w:w="3240"/>
            <w:vAlign w:val="center"/>
            <w:tcMar>
              <w:top w:w="72" w:type="dxa"/>
              <w:start w:w="84" w:type="dxa"/>
              <w:bottom w:w="72" w:type="dxa"/>
              <w:end w:w="84" w:type="dxa"/>
            </w:tcMar>
            <w:shd w:fill="F4F7F8"/>
          </w:tcPr>
          <w:p>
            <w:pPr>
              <w:spacing w:after="0"/>
            </w:pPr>
            <w:r>
              <w:rPr>
                <w:b/>
                <w:sz w:val="16"/>
              </w:rPr>
              <w:t>Organization or office</w:t>
            </w:r>
          </w:p>
        </w:tc>
        <w:tc>
          <w:tcPr>
            <w:tcW w:type="dxa" w:w="6984"/>
            <w:vAlign w:val="center"/>
            <w:tcMar>
              <w:top w:w="72" w:type="dxa"/>
              <w:start w:w="84" w:type="dxa"/>
              <w:bottom w:w="72" w:type="dxa"/>
              <w:end w:w="84" w:type="dxa"/>
            </w:tcMar>
            <w:shd w:fill="F4F7F8"/>
          </w:tcPr>
          <w:p>
            <w:pPr>
              <w:spacing w:after="0"/>
            </w:pPr>
            <w:r>
              <w:rPr>
                <w:b w:val="0"/>
                <w:sz w:val="16"/>
              </w:rPr>
              <w:t>________________________________________</w:t>
            </w:r>
          </w:p>
        </w:tc>
      </w:tr>
      <w:tr>
        <w:trPr>
          <w:cantSplit/>
        </w:trPr>
        <w:tc>
          <w:tcPr>
            <w:tcW w:type="dxa" w:w="3240"/>
            <w:vAlign w:val="center"/>
            <w:tcMar>
              <w:top w:w="72" w:type="dxa"/>
              <w:start w:w="84" w:type="dxa"/>
              <w:bottom w:w="72" w:type="dxa"/>
              <w:end w:w="84" w:type="dxa"/>
            </w:tcMar>
          </w:tcPr>
          <w:p>
            <w:pPr>
              <w:spacing w:after="0"/>
            </w:pPr>
            <w:r>
              <w:rPr>
                <w:b/>
                <w:sz w:val="16"/>
              </w:rPr>
              <w:t>Review date</w:t>
            </w:r>
          </w:p>
        </w:tc>
        <w:tc>
          <w:tcPr>
            <w:tcW w:type="dxa" w:w="6984"/>
            <w:vAlign w:val="center"/>
            <w:tcMar>
              <w:top w:w="72" w:type="dxa"/>
              <w:start w:w="84" w:type="dxa"/>
              <w:bottom w:w="72" w:type="dxa"/>
              <w:end w:w="84" w:type="dxa"/>
            </w:tcMar>
          </w:tcPr>
          <w:p>
            <w:pPr>
              <w:spacing w:after="0"/>
            </w:pPr>
            <w:r>
              <w:rPr>
                <w:b w:val="0"/>
                <w:sz w:val="16"/>
              </w:rPr>
              <w:t>________________________________________</w:t>
            </w:r>
          </w:p>
        </w:tc>
      </w:tr>
      <w:tr>
        <w:trPr>
          <w:cantSplit/>
        </w:trPr>
        <w:tc>
          <w:tcPr>
            <w:tcW w:type="dxa" w:w="3240"/>
            <w:vAlign w:val="center"/>
            <w:tcMar>
              <w:top w:w="72" w:type="dxa"/>
              <w:start w:w="84" w:type="dxa"/>
              <w:bottom w:w="72" w:type="dxa"/>
              <w:end w:w="84" w:type="dxa"/>
            </w:tcMar>
            <w:shd w:fill="F4F7F8"/>
          </w:tcPr>
          <w:p>
            <w:pPr>
              <w:spacing w:after="0"/>
            </w:pPr>
            <w:r>
              <w:rPr>
                <w:b/>
                <w:sz w:val="16"/>
              </w:rPr>
              <w:t>Teaching or research determination</w:t>
            </w:r>
          </w:p>
        </w:tc>
        <w:tc>
          <w:tcPr>
            <w:tcW w:type="dxa" w:w="6984"/>
            <w:vAlign w:val="center"/>
            <w:tcMar>
              <w:top w:w="72" w:type="dxa"/>
              <w:start w:w="84" w:type="dxa"/>
              <w:bottom w:w="72" w:type="dxa"/>
              <w:end w:w="84" w:type="dxa"/>
            </w:tcMar>
            <w:shd w:fill="F4F7F8"/>
          </w:tcPr>
          <w:p>
            <w:pPr>
              <w:spacing w:after="0"/>
            </w:pPr>
            <w:r>
              <w:rPr>
                <w:b w:val="0"/>
                <w:sz w:val="16"/>
              </w:rPr>
              <w:t>________________________________________</w:t>
            </w:r>
          </w:p>
        </w:tc>
      </w:tr>
    </w:tbl>
    <w:p>
      <w:pPr>
        <w:pStyle w:val="Heading1"/>
      </w:pPr>
      <w:r>
        <w:t>Phase Thirteen conclusion</w:t>
      </w:r>
    </w:p>
    <w:p>
      <w:r>
        <w:t>Both Phase Twelve packets can proceed to an educator tabletop review after the revisions recorded here. The human only formation packet completed the synthetic task chain without a structural failure. The bounded legal reasoning packet also completed the chain, but the dry run showed that its human first draft, source limits, output format, and failure rule must be stated more precisely before any tool is used.</w:t>
      </w:r>
    </w:p>
    <w:p>
      <w:r>
        <w:t>This exercise used invented materials and constructed responses. No student, instructor, course, or institution participated. The recorded scores test whether the forms can hold evidence and expose disagreement; they are not learning outcomes, reliability statistics, or findings about Thomas Aquinas College or Berkeley Law.</w:t>
      </w:r>
    </w:p>
    <w:p>
      <w:pPr>
        <w:pStyle w:val="Heading2"/>
      </w:pPr>
      <w:r>
        <w:t>Readiness summary</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448"/>
            <w:vAlign w:val="center"/>
            <w:shd w:fill="193F58"/>
            <w:tcMar>
              <w:top w:w="72" w:type="dxa"/>
              <w:start w:w="84" w:type="dxa"/>
              <w:bottom w:w="72" w:type="dxa"/>
              <w:end w:w="84" w:type="dxa"/>
            </w:tcMar>
          </w:tcPr>
          <w:p>
            <w:pPr>
              <w:spacing w:after="0"/>
            </w:pPr>
            <w:r>
              <w:rPr>
                <w:b/>
                <w:color w:val="FFFFFF"/>
                <w:sz w:val="15"/>
              </w:rPr>
              <w:t>Component</w:t>
            </w:r>
          </w:p>
        </w:tc>
        <w:tc>
          <w:tcPr>
            <w:tcW w:type="dxa" w:w="2232"/>
            <w:vAlign w:val="center"/>
            <w:shd w:fill="193F58"/>
            <w:tcMar>
              <w:top w:w="72" w:type="dxa"/>
              <w:start w:w="84" w:type="dxa"/>
              <w:bottom w:w="72" w:type="dxa"/>
              <w:end w:w="84" w:type="dxa"/>
            </w:tcMar>
          </w:tcPr>
          <w:p>
            <w:pPr>
              <w:spacing w:after="0"/>
            </w:pPr>
            <w:r>
              <w:rPr>
                <w:b/>
                <w:color w:val="FFFFFF"/>
                <w:sz w:val="15"/>
              </w:rPr>
              <w:t>Dry run status</w:t>
            </w:r>
          </w:p>
        </w:tc>
        <w:tc>
          <w:tcPr>
            <w:tcW w:type="dxa" w:w="5544"/>
            <w:vAlign w:val="center"/>
            <w:shd w:fill="193F58"/>
            <w:tcMar>
              <w:top w:w="72" w:type="dxa"/>
              <w:start w:w="84" w:type="dxa"/>
              <w:bottom w:w="72" w:type="dxa"/>
              <w:end w:w="84" w:type="dxa"/>
            </w:tcMar>
          </w:tcPr>
          <w:p>
            <w:pPr>
              <w:spacing w:after="0"/>
            </w:pPr>
            <w:r>
              <w:rPr>
                <w:b/>
                <w:color w:val="FFFFFF"/>
                <w:sz w:val="15"/>
              </w:rPr>
              <w:t>Required next action</w:t>
            </w:r>
          </w:p>
        </w:tc>
      </w:tr>
      <w:tr>
        <w:trPr>
          <w:cantSplit/>
        </w:trPr>
        <w:tc>
          <w:tcPr>
            <w:tcW w:type="dxa" w:w="2448"/>
            <w:vAlign w:val="center"/>
            <w:tcMar>
              <w:top w:w="72" w:type="dxa"/>
              <w:start w:w="84" w:type="dxa"/>
              <w:bottom w:w="72" w:type="dxa"/>
              <w:end w:w="84" w:type="dxa"/>
            </w:tcMar>
          </w:tcPr>
          <w:p>
            <w:pPr>
              <w:spacing w:after="0"/>
            </w:pPr>
            <w:r>
              <w:rPr>
                <w:b/>
                <w:sz w:val="15"/>
              </w:rPr>
              <w:t>Packet A task chain</w:t>
            </w:r>
          </w:p>
        </w:tc>
        <w:tc>
          <w:tcPr>
            <w:tcW w:type="dxa" w:w="2232"/>
            <w:vAlign w:val="center"/>
            <w:tcMar>
              <w:top w:w="72" w:type="dxa"/>
              <w:start w:w="84" w:type="dxa"/>
              <w:bottom w:w="72" w:type="dxa"/>
              <w:end w:w="84" w:type="dxa"/>
            </w:tcMar>
          </w:tcPr>
          <w:p>
            <w:pPr>
              <w:spacing w:after="0"/>
            </w:pPr>
            <w:r>
              <w:rPr>
                <w:b w:val="0"/>
                <w:sz w:val="15"/>
              </w:rPr>
              <w:t>Pass with clarification</w:t>
            </w:r>
          </w:p>
        </w:tc>
        <w:tc>
          <w:tcPr>
            <w:tcW w:type="dxa" w:w="5544"/>
            <w:vAlign w:val="center"/>
            <w:tcMar>
              <w:top w:w="72" w:type="dxa"/>
              <w:start w:w="84" w:type="dxa"/>
              <w:bottom w:w="72" w:type="dxa"/>
              <w:end w:w="84" w:type="dxa"/>
            </w:tcMar>
          </w:tcPr>
          <w:p>
            <w:pPr>
              <w:spacing w:after="0"/>
            </w:pPr>
            <w:r>
              <w:rPr>
                <w:b w:val="0"/>
                <w:sz w:val="15"/>
              </w:rPr>
              <w:t>Define equivalent prompts and score oral ownership from a separate record.</w:t>
            </w:r>
          </w:p>
        </w:tc>
      </w:tr>
      <w:tr>
        <w:trPr>
          <w:cantSplit/>
        </w:trPr>
        <w:tc>
          <w:tcPr>
            <w:tcW w:type="dxa" w:w="2448"/>
            <w:vAlign w:val="center"/>
            <w:tcMar>
              <w:top w:w="72" w:type="dxa"/>
              <w:start w:w="84" w:type="dxa"/>
              <w:bottom w:w="72" w:type="dxa"/>
              <w:end w:w="84" w:type="dxa"/>
            </w:tcMar>
            <w:shd w:fill="F4F7F8"/>
          </w:tcPr>
          <w:p>
            <w:pPr>
              <w:spacing w:after="0"/>
            </w:pPr>
            <w:r>
              <w:rPr>
                <w:b/>
                <w:sz w:val="15"/>
              </w:rPr>
              <w:t>Packet A scoring</w:t>
            </w:r>
          </w:p>
        </w:tc>
        <w:tc>
          <w:tcPr>
            <w:tcW w:type="dxa" w:w="2232"/>
            <w:vAlign w:val="center"/>
            <w:tcMar>
              <w:top w:w="72" w:type="dxa"/>
              <w:start w:w="84" w:type="dxa"/>
              <w:bottom w:w="72" w:type="dxa"/>
              <w:end w:w="84" w:type="dxa"/>
            </w:tcMar>
            <w:shd w:fill="F4F7F8"/>
          </w:tcPr>
          <w:p>
            <w:pPr>
              <w:spacing w:after="0"/>
            </w:pPr>
            <w:r>
              <w:rPr>
                <w:b w:val="0"/>
                <w:sz w:val="15"/>
              </w:rPr>
              <w:t>Pass for tabletop use</w:t>
            </w:r>
          </w:p>
        </w:tc>
        <w:tc>
          <w:tcPr>
            <w:tcW w:type="dxa" w:w="5544"/>
            <w:vAlign w:val="center"/>
            <w:tcMar>
              <w:top w:w="72" w:type="dxa"/>
              <w:start w:w="84" w:type="dxa"/>
              <w:bottom w:w="72" w:type="dxa"/>
              <w:end w:w="84" w:type="dxa"/>
            </w:tcMar>
            <w:shd w:fill="F4F7F8"/>
          </w:tcPr>
          <w:p>
            <w:pPr>
              <w:spacing w:after="0"/>
            </w:pPr>
            <w:r>
              <w:rPr>
                <w:b w:val="0"/>
                <w:sz w:val="15"/>
              </w:rPr>
              <w:t>Calibrate two human raters on unseen examples before student work.</w:t>
            </w:r>
          </w:p>
        </w:tc>
      </w:tr>
      <w:tr>
        <w:trPr>
          <w:cantSplit/>
        </w:trPr>
        <w:tc>
          <w:tcPr>
            <w:tcW w:type="dxa" w:w="2448"/>
            <w:vAlign w:val="center"/>
            <w:tcMar>
              <w:top w:w="72" w:type="dxa"/>
              <w:start w:w="84" w:type="dxa"/>
              <w:bottom w:w="72" w:type="dxa"/>
              <w:end w:w="84" w:type="dxa"/>
            </w:tcMar>
          </w:tcPr>
          <w:p>
            <w:pPr>
              <w:spacing w:after="0"/>
            </w:pPr>
            <w:r>
              <w:rPr>
                <w:b/>
                <w:sz w:val="15"/>
              </w:rPr>
              <w:t>Packet B condition boundary</w:t>
            </w:r>
          </w:p>
        </w:tc>
        <w:tc>
          <w:tcPr>
            <w:tcW w:type="dxa" w:w="2232"/>
            <w:vAlign w:val="center"/>
            <w:tcMar>
              <w:top w:w="72" w:type="dxa"/>
              <w:start w:w="84" w:type="dxa"/>
              <w:bottom w:w="72" w:type="dxa"/>
              <w:end w:w="84" w:type="dxa"/>
            </w:tcMar>
          </w:tcPr>
          <w:p>
            <w:pPr>
              <w:spacing w:after="0"/>
            </w:pPr>
            <w:r>
              <w:rPr>
                <w:b w:val="0"/>
                <w:sz w:val="15"/>
              </w:rPr>
              <w:t>Revise before tabletop use</w:t>
            </w:r>
          </w:p>
        </w:tc>
        <w:tc>
          <w:tcPr>
            <w:tcW w:type="dxa" w:w="5544"/>
            <w:vAlign w:val="center"/>
            <w:tcMar>
              <w:top w:w="72" w:type="dxa"/>
              <w:start w:w="84" w:type="dxa"/>
              <w:bottom w:w="72" w:type="dxa"/>
              <w:end w:w="84" w:type="dxa"/>
            </w:tcMar>
          </w:tcPr>
          <w:p>
            <w:pPr>
              <w:spacing w:after="0"/>
            </w:pPr>
            <w:r>
              <w:rPr>
                <w:b w:val="0"/>
                <w:sz w:val="15"/>
              </w:rPr>
              <w:t>Freeze the human first response and constrain critique to a fixed three item format.</w:t>
            </w:r>
          </w:p>
        </w:tc>
      </w:tr>
      <w:tr>
        <w:trPr>
          <w:cantSplit/>
        </w:trPr>
        <w:tc>
          <w:tcPr>
            <w:tcW w:type="dxa" w:w="2448"/>
            <w:vAlign w:val="center"/>
            <w:tcMar>
              <w:top w:w="72" w:type="dxa"/>
              <w:start w:w="84" w:type="dxa"/>
              <w:bottom w:w="72" w:type="dxa"/>
              <w:end w:w="84" w:type="dxa"/>
            </w:tcMar>
            <w:shd w:fill="F4F7F8"/>
          </w:tcPr>
          <w:p>
            <w:pPr>
              <w:spacing w:after="0"/>
            </w:pPr>
            <w:r>
              <w:rPr>
                <w:b/>
                <w:sz w:val="15"/>
              </w:rPr>
              <w:t>Packet B scoring</w:t>
            </w:r>
          </w:p>
        </w:tc>
        <w:tc>
          <w:tcPr>
            <w:tcW w:type="dxa" w:w="2232"/>
            <w:vAlign w:val="center"/>
            <w:tcMar>
              <w:top w:w="72" w:type="dxa"/>
              <w:start w:w="84" w:type="dxa"/>
              <w:bottom w:w="72" w:type="dxa"/>
              <w:end w:w="84" w:type="dxa"/>
            </w:tcMar>
            <w:shd w:fill="F4F7F8"/>
          </w:tcPr>
          <w:p>
            <w:pPr>
              <w:spacing w:after="0"/>
            </w:pPr>
            <w:r>
              <w:rPr>
                <w:b w:val="0"/>
                <w:sz w:val="15"/>
              </w:rPr>
              <w:t>Pass with clarification</w:t>
            </w:r>
          </w:p>
        </w:tc>
        <w:tc>
          <w:tcPr>
            <w:tcW w:type="dxa" w:w="5544"/>
            <w:vAlign w:val="center"/>
            <w:tcMar>
              <w:top w:w="72" w:type="dxa"/>
              <w:start w:w="84" w:type="dxa"/>
              <w:bottom w:w="72" w:type="dxa"/>
              <w:end w:w="84" w:type="dxa"/>
            </w:tcMar>
            <w:shd w:fill="F4F7F8"/>
          </w:tcPr>
          <w:p>
            <w:pPr>
              <w:spacing w:after="0"/>
            </w:pPr>
            <w:r>
              <w:rPr>
                <w:b w:val="0"/>
                <w:sz w:val="15"/>
              </w:rPr>
              <w:t>Separate authority verification from writing polish and judgment.</w:t>
            </w:r>
          </w:p>
        </w:tc>
      </w:tr>
      <w:tr>
        <w:trPr>
          <w:cantSplit/>
        </w:trPr>
        <w:tc>
          <w:tcPr>
            <w:tcW w:type="dxa" w:w="2448"/>
            <w:vAlign w:val="center"/>
            <w:tcMar>
              <w:top w:w="72" w:type="dxa"/>
              <w:start w:w="84" w:type="dxa"/>
              <w:bottom w:w="72" w:type="dxa"/>
              <w:end w:w="84" w:type="dxa"/>
            </w:tcMar>
          </w:tcPr>
          <w:p>
            <w:pPr>
              <w:spacing w:after="0"/>
            </w:pPr>
            <w:r>
              <w:rPr>
                <w:b/>
                <w:sz w:val="15"/>
              </w:rPr>
              <w:t>Privacy and accessibility</w:t>
            </w:r>
          </w:p>
        </w:tc>
        <w:tc>
          <w:tcPr>
            <w:tcW w:type="dxa" w:w="2232"/>
            <w:vAlign w:val="center"/>
            <w:tcMar>
              <w:top w:w="72" w:type="dxa"/>
              <w:start w:w="84" w:type="dxa"/>
              <w:bottom w:w="72" w:type="dxa"/>
              <w:end w:w="84" w:type="dxa"/>
            </w:tcMar>
          </w:tcPr>
          <w:p>
            <w:pPr>
              <w:spacing w:after="0"/>
            </w:pPr>
            <w:r>
              <w:rPr>
                <w:b w:val="0"/>
                <w:sz w:val="15"/>
              </w:rPr>
              <w:t>Stop rules function</w:t>
            </w:r>
          </w:p>
        </w:tc>
        <w:tc>
          <w:tcPr>
            <w:tcW w:type="dxa" w:w="5544"/>
            <w:vAlign w:val="center"/>
            <w:tcMar>
              <w:top w:w="72" w:type="dxa"/>
              <w:start w:w="84" w:type="dxa"/>
              <w:bottom w:w="72" w:type="dxa"/>
              <w:end w:w="84" w:type="dxa"/>
            </w:tcMar>
          </w:tcPr>
          <w:p>
            <w:pPr>
              <w:spacing w:after="0"/>
            </w:pPr>
            <w:r>
              <w:rPr>
                <w:b w:val="0"/>
                <w:sz w:val="15"/>
              </w:rPr>
              <w:t>Verify the actual tool contract, account, alternative, and deletion plan.</w:t>
            </w:r>
          </w:p>
        </w:tc>
      </w:tr>
      <w:tr>
        <w:trPr>
          <w:cantSplit/>
        </w:trPr>
        <w:tc>
          <w:tcPr>
            <w:tcW w:type="dxa" w:w="2448"/>
            <w:vAlign w:val="center"/>
            <w:tcMar>
              <w:top w:w="72" w:type="dxa"/>
              <w:start w:w="84" w:type="dxa"/>
              <w:bottom w:w="72" w:type="dxa"/>
              <w:end w:w="84" w:type="dxa"/>
            </w:tcMar>
            <w:shd w:fill="F4F7F8"/>
          </w:tcPr>
          <w:p>
            <w:pPr>
              <w:spacing w:after="0"/>
            </w:pPr>
            <w:r>
              <w:rPr>
                <w:b/>
                <w:sz w:val="15"/>
              </w:rPr>
              <w:t>Institutional conclusions</w:t>
            </w:r>
          </w:p>
        </w:tc>
        <w:tc>
          <w:tcPr>
            <w:tcW w:type="dxa" w:w="2232"/>
            <w:vAlign w:val="center"/>
            <w:tcMar>
              <w:top w:w="72" w:type="dxa"/>
              <w:start w:w="84" w:type="dxa"/>
              <w:bottom w:w="72" w:type="dxa"/>
              <w:end w:w="84" w:type="dxa"/>
            </w:tcMar>
            <w:shd w:fill="F4F7F8"/>
          </w:tcPr>
          <w:p>
            <w:pPr>
              <w:spacing w:after="0"/>
            </w:pPr>
            <w:r>
              <w:rPr>
                <w:b w:val="0"/>
                <w:sz w:val="15"/>
              </w:rPr>
              <w:t>Not permitted</w:t>
            </w:r>
          </w:p>
        </w:tc>
        <w:tc>
          <w:tcPr>
            <w:tcW w:type="dxa" w:w="5544"/>
            <w:vAlign w:val="center"/>
            <w:tcMar>
              <w:top w:w="72" w:type="dxa"/>
              <w:start w:w="84" w:type="dxa"/>
              <w:bottom w:w="72" w:type="dxa"/>
              <w:end w:w="84" w:type="dxa"/>
            </w:tcMar>
            <w:shd w:fill="F4F7F8"/>
          </w:tcPr>
          <w:p>
            <w:pPr>
              <w:spacing w:after="0"/>
            </w:pPr>
            <w:r>
              <w:rPr>
                <w:b w:val="0"/>
                <w:sz w:val="15"/>
              </w:rPr>
              <w:t>Keep all dry run records outside the institutional scorecard.</w:t>
            </w:r>
          </w:p>
        </w:tc>
      </w:tr>
    </w:tbl>
    <w:p>
      <w:pPr>
        <w:pStyle w:val="Heading2"/>
      </w:pPr>
      <w:r>
        <w:t>Current boundary</w:t>
      </w:r>
    </w:p>
    <w:p>
      <w:r>
        <w:t>The next permissible activity is a review by educators using synthetic or previously cleared materials. Student administration remains outside this phase. K through 12 student facing artificial intelligence conditions remain paused pending verified policy, age, consent, privacy, parent authority, and developmental safeguards.</w:t>
      </w:r>
    </w:p>
    <w:p>
      <w:r>
        <w:br w:type="page"/>
      </w:r>
    </w:p>
    <w:p>
      <w:pPr>
        <w:pStyle w:val="Heading1"/>
      </w:pPr>
      <w:r>
        <w:t>Dry run design and evidence limits</w:t>
      </w:r>
    </w:p>
    <w:p>
      <w:pPr>
        <w:pStyle w:val="Heading2"/>
      </w:pPr>
      <w:r>
        <w:t>Purpose</w:t>
      </w:r>
    </w:p>
    <w:p>
      <w:r>
        <w:t>The dry run tests the instructions, sequence, scoring fields, safeguards, and reporting rules in the Phase Twelve packets. It asks whether a careful reviewer can tell what happens at C0 through C4, what differs among H0, B1, and B2, and when the process must stop.</w:t>
      </w:r>
    </w:p>
    <w:p>
      <w:pPr>
        <w:pStyle w:val="Heading2"/>
      </w:pPr>
      <w:r>
        <w:t>Materials and scoring method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93F58"/>
            <w:tcMar>
              <w:top w:w="72" w:type="dxa"/>
              <w:start w:w="84" w:type="dxa"/>
              <w:bottom w:w="72" w:type="dxa"/>
              <w:end w:w="84" w:type="dxa"/>
            </w:tcMar>
          </w:tcPr>
          <w:p>
            <w:pPr>
              <w:spacing w:after="0"/>
            </w:pPr>
            <w:r>
              <w:rPr>
                <w:b/>
                <w:color w:val="FFFFFF"/>
                <w:sz w:val="16"/>
              </w:rPr>
              <w:t>Element</w:t>
            </w:r>
          </w:p>
        </w:tc>
        <w:tc>
          <w:tcPr>
            <w:tcW w:type="dxa" w:w="7848"/>
            <w:vAlign w:val="center"/>
            <w:shd w:fill="193F58"/>
            <w:tcMar>
              <w:top w:w="72" w:type="dxa"/>
              <w:start w:w="84" w:type="dxa"/>
              <w:bottom w:w="72" w:type="dxa"/>
              <w:end w:w="84" w:type="dxa"/>
            </w:tcMar>
          </w:tcPr>
          <w:p>
            <w:pPr>
              <w:spacing w:after="0"/>
            </w:pPr>
            <w:r>
              <w:rPr>
                <w:b/>
                <w:color w:val="FFFFFF"/>
                <w:sz w:val="16"/>
              </w:rPr>
              <w:t>Dry run treatment</w:t>
            </w:r>
          </w:p>
        </w:tc>
      </w:tr>
      <w:tr>
        <w:trPr>
          <w:cantSplit/>
        </w:trPr>
        <w:tc>
          <w:tcPr>
            <w:tcW w:type="dxa" w:w="2376"/>
            <w:vAlign w:val="center"/>
            <w:tcMar>
              <w:top w:w="72" w:type="dxa"/>
              <w:start w:w="84" w:type="dxa"/>
              <w:bottom w:w="72" w:type="dxa"/>
              <w:end w:w="84" w:type="dxa"/>
            </w:tcMar>
          </w:tcPr>
          <w:p>
            <w:pPr>
              <w:spacing w:after="0"/>
            </w:pPr>
            <w:r>
              <w:rPr>
                <w:b/>
                <w:sz w:val="16"/>
              </w:rPr>
              <w:t>Formation source</w:t>
            </w:r>
          </w:p>
        </w:tc>
        <w:tc>
          <w:tcPr>
            <w:tcW w:type="dxa" w:w="7848"/>
            <w:vAlign w:val="center"/>
            <w:tcMar>
              <w:top w:w="72" w:type="dxa"/>
              <w:start w:w="84" w:type="dxa"/>
              <w:bottom w:w="72" w:type="dxa"/>
              <w:end w:w="84" w:type="dxa"/>
            </w:tcMar>
          </w:tcPr>
          <w:p>
            <w:pPr>
              <w:spacing w:after="0"/>
            </w:pPr>
            <w:r>
              <w:rPr>
                <w:b w:val="0"/>
                <w:sz w:val="16"/>
              </w:rPr>
              <w:t>Original dialogue written for this dry run and not drawn from a course.</w:t>
            </w:r>
          </w:p>
        </w:tc>
      </w:tr>
      <w:tr>
        <w:trPr>
          <w:cantSplit/>
        </w:trPr>
        <w:tc>
          <w:tcPr>
            <w:tcW w:type="dxa" w:w="2376"/>
            <w:vAlign w:val="center"/>
            <w:tcMar>
              <w:top w:w="72" w:type="dxa"/>
              <w:start w:w="84" w:type="dxa"/>
              <w:bottom w:w="72" w:type="dxa"/>
              <w:end w:w="84" w:type="dxa"/>
            </w:tcMar>
            <w:shd w:fill="F4F7F8"/>
          </w:tcPr>
          <w:p>
            <w:pPr>
              <w:spacing w:after="0"/>
            </w:pPr>
            <w:r>
              <w:rPr>
                <w:b/>
                <w:sz w:val="16"/>
              </w:rPr>
              <w:t>Legal sources</w:t>
            </w:r>
          </w:p>
        </w:tc>
        <w:tc>
          <w:tcPr>
            <w:tcW w:type="dxa" w:w="7848"/>
            <w:vAlign w:val="center"/>
            <w:tcMar>
              <w:top w:w="72" w:type="dxa"/>
              <w:start w:w="84" w:type="dxa"/>
              <w:bottom w:w="72" w:type="dxa"/>
              <w:end w:w="84" w:type="dxa"/>
            </w:tcMar>
            <w:shd w:fill="F4F7F8"/>
          </w:tcPr>
          <w:p>
            <w:pPr>
              <w:spacing w:after="0"/>
            </w:pPr>
            <w:r>
              <w:rPr>
                <w:b w:val="0"/>
                <w:sz w:val="16"/>
              </w:rPr>
              <w:t>Fictional rule and fictional facts with no real student, client, or institution.</w:t>
            </w:r>
          </w:p>
        </w:tc>
      </w:tr>
      <w:tr>
        <w:trPr>
          <w:cantSplit/>
        </w:trPr>
        <w:tc>
          <w:tcPr>
            <w:tcW w:type="dxa" w:w="2376"/>
            <w:vAlign w:val="center"/>
            <w:tcMar>
              <w:top w:w="72" w:type="dxa"/>
              <w:start w:w="84" w:type="dxa"/>
              <w:bottom w:w="72" w:type="dxa"/>
              <w:end w:w="84" w:type="dxa"/>
            </w:tcMar>
          </w:tcPr>
          <w:p>
            <w:pPr>
              <w:spacing w:after="0"/>
            </w:pPr>
            <w:r>
              <w:rPr>
                <w:b/>
                <w:sz w:val="16"/>
              </w:rPr>
              <w:t>Responses</w:t>
            </w:r>
          </w:p>
        </w:tc>
        <w:tc>
          <w:tcPr>
            <w:tcW w:type="dxa" w:w="7848"/>
            <w:vAlign w:val="center"/>
            <w:tcMar>
              <w:top w:w="72" w:type="dxa"/>
              <w:start w:w="84" w:type="dxa"/>
              <w:bottom w:w="72" w:type="dxa"/>
              <w:end w:w="84" w:type="dxa"/>
            </w:tcMar>
          </w:tcPr>
          <w:p>
            <w:pPr>
              <w:spacing w:after="0"/>
            </w:pPr>
            <w:r>
              <w:rPr>
                <w:b w:val="0"/>
                <w:sz w:val="16"/>
              </w:rPr>
              <w:t>Constructed examples representing weaker, adequate, and stronger performance.</w:t>
            </w:r>
          </w:p>
        </w:tc>
      </w:tr>
      <w:tr>
        <w:trPr>
          <w:cantSplit/>
        </w:trPr>
        <w:tc>
          <w:tcPr>
            <w:tcW w:type="dxa" w:w="2376"/>
            <w:vAlign w:val="center"/>
            <w:tcMar>
              <w:top w:w="72" w:type="dxa"/>
              <w:start w:w="84" w:type="dxa"/>
              <w:bottom w:w="72" w:type="dxa"/>
              <w:end w:w="84" w:type="dxa"/>
            </w:tcMar>
            <w:shd w:fill="F4F7F8"/>
          </w:tcPr>
          <w:p>
            <w:pPr>
              <w:spacing w:after="0"/>
            </w:pPr>
            <w:r>
              <w:rPr>
                <w:b/>
                <w:sz w:val="16"/>
              </w:rPr>
              <w:t>Scoring</w:t>
            </w:r>
          </w:p>
        </w:tc>
        <w:tc>
          <w:tcPr>
            <w:tcW w:type="dxa" w:w="7848"/>
            <w:vAlign w:val="center"/>
            <w:tcMar>
              <w:top w:w="72" w:type="dxa"/>
              <w:start w:w="84" w:type="dxa"/>
              <w:bottom w:w="72" w:type="dxa"/>
              <w:end w:w="84" w:type="dxa"/>
            </w:tcMar>
            <w:shd w:fill="F4F7F8"/>
          </w:tcPr>
          <w:p>
            <w:pPr>
              <w:spacing w:after="0"/>
            </w:pPr>
            <w:r>
              <w:rPr>
                <w:b w:val="0"/>
                <w:sz w:val="16"/>
              </w:rPr>
              <w:t>Two analytic passes applied to the same examples to expose plausible ambiguity.</w:t>
            </w:r>
          </w:p>
        </w:tc>
      </w:tr>
      <w:tr>
        <w:trPr>
          <w:cantSplit/>
        </w:trPr>
        <w:tc>
          <w:tcPr>
            <w:tcW w:type="dxa" w:w="2376"/>
            <w:vAlign w:val="center"/>
            <w:tcMar>
              <w:top w:w="72" w:type="dxa"/>
              <w:start w:w="84" w:type="dxa"/>
              <w:bottom w:w="72" w:type="dxa"/>
              <w:end w:w="84" w:type="dxa"/>
            </w:tcMar>
          </w:tcPr>
          <w:p>
            <w:pPr>
              <w:spacing w:after="0"/>
            </w:pPr>
            <w:r>
              <w:rPr>
                <w:b/>
                <w:sz w:val="16"/>
              </w:rPr>
              <w:t>Timing</w:t>
            </w:r>
          </w:p>
        </w:tc>
        <w:tc>
          <w:tcPr>
            <w:tcW w:type="dxa" w:w="7848"/>
            <w:vAlign w:val="center"/>
            <w:tcMar>
              <w:top w:w="72" w:type="dxa"/>
              <w:start w:w="84" w:type="dxa"/>
              <w:bottom w:w="72" w:type="dxa"/>
              <w:end w:w="84" w:type="dxa"/>
            </w:tcMar>
          </w:tcPr>
          <w:p>
            <w:pPr>
              <w:spacing w:after="0"/>
            </w:pPr>
            <w:r>
              <w:rPr>
                <w:b w:val="0"/>
                <w:sz w:val="16"/>
              </w:rPr>
              <w:t>C3 and C4 are modeled records; no claim of elapsed time or retention is made.</w:t>
            </w:r>
          </w:p>
        </w:tc>
      </w:tr>
      <w:tr>
        <w:trPr>
          <w:cantSplit/>
        </w:trPr>
        <w:tc>
          <w:tcPr>
            <w:tcW w:type="dxa" w:w="2376"/>
            <w:vAlign w:val="center"/>
            <w:tcMar>
              <w:top w:w="72" w:type="dxa"/>
              <w:start w:w="84" w:type="dxa"/>
              <w:bottom w:w="72" w:type="dxa"/>
              <w:end w:w="84" w:type="dxa"/>
            </w:tcMar>
            <w:shd w:fill="F4F7F8"/>
          </w:tcPr>
          <w:p>
            <w:pPr>
              <w:spacing w:after="0"/>
            </w:pPr>
            <w:r>
              <w:rPr>
                <w:b/>
                <w:sz w:val="16"/>
              </w:rPr>
              <w:t>Tool interaction</w:t>
            </w:r>
          </w:p>
        </w:tc>
        <w:tc>
          <w:tcPr>
            <w:tcW w:type="dxa" w:w="7848"/>
            <w:vAlign w:val="center"/>
            <w:tcMar>
              <w:top w:w="72" w:type="dxa"/>
              <w:start w:w="84" w:type="dxa"/>
              <w:bottom w:w="72" w:type="dxa"/>
              <w:end w:w="84" w:type="dxa"/>
            </w:tcMar>
            <w:shd w:fill="F4F7F8"/>
          </w:tcPr>
          <w:p>
            <w:pPr>
              <w:spacing w:after="0"/>
            </w:pPr>
            <w:r>
              <w:rPr>
                <w:b w:val="0"/>
                <w:sz w:val="16"/>
              </w:rPr>
              <w:t>Scripted critique output tests the boundary; it is not a product evaluation.</w:t>
            </w:r>
          </w:p>
        </w:tc>
      </w:tr>
    </w:tbl>
    <w:p>
      <w:pPr>
        <w:pStyle w:val="Heading2"/>
      </w:pPr>
      <w:r>
        <w:t>Passing conditions</w:t>
      </w:r>
    </w:p>
    <w:p>
      <w:pPr>
        <w:pStyle w:val="ListBullet"/>
      </w:pPr>
      <w:r>
        <w:t>Each condition can be administered without guessing the intended task or permitted assistance.</w:t>
      </w:r>
    </w:p>
    <w:p>
      <w:pPr>
        <w:pStyle w:val="ListBullet"/>
      </w:pPr>
      <w:r>
        <w:t>A reviewer can separate immediate product quality from later unaided performance.</w:t>
      </w:r>
    </w:p>
    <w:p>
      <w:pPr>
        <w:pStyle w:val="ListBullet"/>
      </w:pPr>
      <w:r>
        <w:t>The scoring dimensions identify evidence rather than rewarding fluency or confidence alone.</w:t>
      </w:r>
    </w:p>
    <w:p>
      <w:pPr>
        <w:pStyle w:val="ListBullet"/>
      </w:pPr>
      <w:r>
        <w:t>A prohibited action triggers a stop instead of an undocumented workaround.</w:t>
      </w:r>
    </w:p>
    <w:p>
      <w:pPr>
        <w:pStyle w:val="ListBullet"/>
      </w:pPr>
      <w:r>
        <w:t>Missing evidence remains missing and does not become a zero, misconduct finding, or institutional judgment.</w:t>
      </w:r>
    </w:p>
    <w:p>
      <w:pPr>
        <w:pStyle w:val="Heading2"/>
      </w:pPr>
      <w:r>
        <w:t>Meaning of calibration in this phase</w:t>
      </w:r>
    </w:p>
    <w:p>
      <w:r>
        <w:t>The two scoring passes are deliberately constructed stress tests. They are not independent human ratings and cannot establish inter rater reliability. Their only purpose is to locate criteria that two reasonable readers might apply differently. Phase Thirteen therefore prepares calibration; it does not complete it.</w:t>
      </w:r>
    </w:p>
    <w:p>
      <w:r>
        <w:br w:type="page"/>
      </w:r>
    </w:p>
    <w:p>
      <w:pPr>
        <w:pStyle w:val="Heading1"/>
      </w:pPr>
      <w:r>
        <w:t>Packet A synthetic formation activity</w:t>
      </w:r>
    </w:p>
    <w:p>
      <w:pPr>
        <w:pStyle w:val="Heading2"/>
      </w:pPr>
      <w:r>
        <w:t>Synthetic source The Bridge Dialogue</w:t>
      </w:r>
    </w:p>
    <w:p>
      <w:r>
        <w:t>A student says that a bridge is safe because it has stood for many years. A builder replies that duration is evidence only if the loads, materials, weather, and repairs are understood. The student answers that inspection can never remove every uncertainty. The builder agrees, but says judgment improves when a person states the decisive reasons, names the strongest objection, and explains what new fact would require revision.</w:t>
      </w:r>
    </w:p>
    <w:p>
      <w:pPr>
        <w:pStyle w:val="Heading2"/>
      </w:pPr>
      <w:r>
        <w:t>Registered intellectual act</w:t>
      </w:r>
    </w:p>
    <w:p>
      <w:r>
        <w:t>Identify the dialogue's central claim about judgment. Explain the strongest supporting reason, state a serious objection, answer it without dismissing the uncertainty, and identify one fact that would change the conclusion. The response must distinguish evidence of safety from confidence in safety.</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800"/>
            <w:vAlign w:val="center"/>
            <w:shd w:fill="193F58"/>
            <w:tcMar>
              <w:top w:w="72" w:type="dxa"/>
              <w:start w:w="84" w:type="dxa"/>
              <w:bottom w:w="72" w:type="dxa"/>
              <w:end w:w="84" w:type="dxa"/>
            </w:tcMar>
          </w:tcPr>
          <w:p>
            <w:pPr>
              <w:spacing w:after="0"/>
            </w:pPr>
            <w:r>
              <w:rPr>
                <w:b/>
                <w:color w:val="FFFFFF"/>
                <w:sz w:val="15"/>
              </w:rPr>
              <w:t>Condition</w:t>
            </w:r>
          </w:p>
        </w:tc>
        <w:tc>
          <w:tcPr>
            <w:tcW w:type="dxa" w:w="5112"/>
            <w:vAlign w:val="center"/>
            <w:shd w:fill="193F58"/>
            <w:tcMar>
              <w:top w:w="72" w:type="dxa"/>
              <w:start w:w="84" w:type="dxa"/>
              <w:bottom w:w="72" w:type="dxa"/>
              <w:end w:w="84" w:type="dxa"/>
            </w:tcMar>
          </w:tcPr>
          <w:p>
            <w:pPr>
              <w:spacing w:after="0"/>
            </w:pPr>
            <w:r>
              <w:rPr>
                <w:b/>
                <w:color w:val="FFFFFF"/>
                <w:sz w:val="15"/>
              </w:rPr>
              <w:t>Equivalent prompt</w:t>
            </w:r>
          </w:p>
        </w:tc>
        <w:tc>
          <w:tcPr>
            <w:tcW w:type="dxa" w:w="3312"/>
            <w:vAlign w:val="center"/>
            <w:shd w:fill="193F58"/>
            <w:tcMar>
              <w:top w:w="72" w:type="dxa"/>
              <w:start w:w="84" w:type="dxa"/>
              <w:bottom w:w="72" w:type="dxa"/>
              <w:end w:w="84" w:type="dxa"/>
            </w:tcMar>
          </w:tcPr>
          <w:p>
            <w:pPr>
              <w:spacing w:after="0"/>
            </w:pPr>
            <w:r>
              <w:rPr>
                <w:b/>
                <w:color w:val="FFFFFF"/>
                <w:sz w:val="15"/>
              </w:rPr>
              <w:t>Protected performance</w:t>
            </w:r>
          </w:p>
        </w:tc>
      </w:tr>
      <w:tr>
        <w:trPr>
          <w:cantSplit/>
        </w:trPr>
        <w:tc>
          <w:tcPr>
            <w:tcW w:type="dxa" w:w="1800"/>
            <w:vAlign w:val="center"/>
            <w:tcMar>
              <w:top w:w="72" w:type="dxa"/>
              <w:start w:w="84" w:type="dxa"/>
              <w:bottom w:w="72" w:type="dxa"/>
              <w:end w:w="84" w:type="dxa"/>
            </w:tcMar>
          </w:tcPr>
          <w:p>
            <w:pPr>
              <w:spacing w:after="0"/>
            </w:pPr>
            <w:r>
              <w:rPr>
                <w:b/>
                <w:sz w:val="15"/>
              </w:rPr>
              <w:t>C0 Baseline</w:t>
            </w:r>
          </w:p>
        </w:tc>
        <w:tc>
          <w:tcPr>
            <w:tcW w:type="dxa" w:w="5112"/>
            <w:vAlign w:val="center"/>
            <w:tcMar>
              <w:top w:w="72" w:type="dxa"/>
              <w:start w:w="84" w:type="dxa"/>
              <w:bottom w:w="72" w:type="dxa"/>
              <w:end w:w="84" w:type="dxa"/>
            </w:tcMar>
          </w:tcPr>
          <w:p>
            <w:pPr>
              <w:spacing w:after="0"/>
            </w:pPr>
            <w:r>
              <w:rPr>
                <w:b w:val="0"/>
                <w:sz w:val="15"/>
              </w:rPr>
              <w:t>Apply the method to the dialogue before instruction in the selected reasoning form.</w:t>
            </w:r>
          </w:p>
        </w:tc>
        <w:tc>
          <w:tcPr>
            <w:tcW w:type="dxa" w:w="3312"/>
            <w:vAlign w:val="center"/>
            <w:tcMar>
              <w:top w:w="72" w:type="dxa"/>
              <w:start w:w="84" w:type="dxa"/>
              <w:bottom w:w="72" w:type="dxa"/>
              <w:end w:w="84" w:type="dxa"/>
            </w:tcMar>
          </w:tcPr>
          <w:p>
            <w:pPr>
              <w:spacing w:after="0"/>
            </w:pPr>
            <w:r>
              <w:rPr>
                <w:b w:val="0"/>
                <w:sz w:val="15"/>
              </w:rPr>
              <w:t>Written explanation with the source available.</w:t>
            </w:r>
          </w:p>
        </w:tc>
      </w:tr>
      <w:tr>
        <w:trPr>
          <w:cantSplit/>
        </w:trPr>
        <w:tc>
          <w:tcPr>
            <w:tcW w:type="dxa" w:w="1800"/>
            <w:vAlign w:val="center"/>
            <w:tcMar>
              <w:top w:w="72" w:type="dxa"/>
              <w:start w:w="84" w:type="dxa"/>
              <w:bottom w:w="72" w:type="dxa"/>
              <w:end w:w="84" w:type="dxa"/>
            </w:tcMar>
            <w:shd w:fill="F4F7F8"/>
          </w:tcPr>
          <w:p>
            <w:pPr>
              <w:spacing w:after="0"/>
            </w:pPr>
            <w:r>
              <w:rPr>
                <w:b/>
                <w:sz w:val="15"/>
              </w:rPr>
              <w:t>C1 Instruction</w:t>
            </w:r>
          </w:p>
        </w:tc>
        <w:tc>
          <w:tcPr>
            <w:tcW w:type="dxa" w:w="5112"/>
            <w:vAlign w:val="center"/>
            <w:tcMar>
              <w:top w:w="72" w:type="dxa"/>
              <w:start w:w="84" w:type="dxa"/>
              <w:bottom w:w="72" w:type="dxa"/>
              <w:end w:w="84" w:type="dxa"/>
            </w:tcMar>
            <w:shd w:fill="F4F7F8"/>
          </w:tcPr>
          <w:p>
            <w:pPr>
              <w:spacing w:after="0"/>
            </w:pPr>
            <w:r>
              <w:rPr>
                <w:b w:val="0"/>
                <w:sz w:val="15"/>
              </w:rPr>
              <w:t>Teach the ordinary method for claim, reason, objection, answer, and revision.</w:t>
            </w:r>
          </w:p>
        </w:tc>
        <w:tc>
          <w:tcPr>
            <w:tcW w:type="dxa" w:w="3312"/>
            <w:vAlign w:val="center"/>
            <w:tcMar>
              <w:top w:w="72" w:type="dxa"/>
              <w:start w:w="84" w:type="dxa"/>
              <w:bottom w:w="72" w:type="dxa"/>
              <w:end w:w="84" w:type="dxa"/>
            </w:tcMar>
            <w:shd w:fill="F4F7F8"/>
          </w:tcPr>
          <w:p>
            <w:pPr>
              <w:spacing w:after="0"/>
            </w:pPr>
            <w:r>
              <w:rPr>
                <w:b w:val="0"/>
                <w:sz w:val="15"/>
              </w:rPr>
              <w:t>Normal human instruction and discussion only.</w:t>
            </w:r>
          </w:p>
        </w:tc>
      </w:tr>
      <w:tr>
        <w:trPr>
          <w:cantSplit/>
        </w:trPr>
        <w:tc>
          <w:tcPr>
            <w:tcW w:type="dxa" w:w="1800"/>
            <w:vAlign w:val="center"/>
            <w:tcMar>
              <w:top w:w="72" w:type="dxa"/>
              <w:start w:w="84" w:type="dxa"/>
              <w:bottom w:w="72" w:type="dxa"/>
              <w:end w:w="84" w:type="dxa"/>
            </w:tcMar>
          </w:tcPr>
          <w:p>
            <w:pPr>
              <w:spacing w:after="0"/>
            </w:pPr>
            <w:r>
              <w:rPr>
                <w:b/>
                <w:sz w:val="15"/>
              </w:rPr>
              <w:t>C2 Immediate</w:t>
            </w:r>
          </w:p>
        </w:tc>
        <w:tc>
          <w:tcPr>
            <w:tcW w:type="dxa" w:w="5112"/>
            <w:vAlign w:val="center"/>
            <w:tcMar>
              <w:top w:w="72" w:type="dxa"/>
              <w:start w:w="84" w:type="dxa"/>
              <w:bottom w:w="72" w:type="dxa"/>
              <w:end w:w="84" w:type="dxa"/>
            </w:tcMar>
          </w:tcPr>
          <w:p>
            <w:pPr>
              <w:spacing w:after="0"/>
            </w:pPr>
            <w:r>
              <w:rPr>
                <w:b w:val="0"/>
                <w:sz w:val="15"/>
              </w:rPr>
              <w:t>Apply the same method to a parallel claim about the reliability of a water gauge.</w:t>
            </w:r>
          </w:p>
        </w:tc>
        <w:tc>
          <w:tcPr>
            <w:tcW w:type="dxa" w:w="3312"/>
            <w:vAlign w:val="center"/>
            <w:tcMar>
              <w:top w:w="72" w:type="dxa"/>
              <w:start w:w="84" w:type="dxa"/>
              <w:bottom w:w="72" w:type="dxa"/>
              <w:end w:w="84" w:type="dxa"/>
            </w:tcMar>
          </w:tcPr>
          <w:p>
            <w:pPr>
              <w:spacing w:after="0"/>
            </w:pPr>
            <w:r>
              <w:rPr>
                <w:b w:val="0"/>
                <w:sz w:val="15"/>
              </w:rPr>
              <w:t>Unaided written response and brief oral defense.</w:t>
            </w:r>
          </w:p>
        </w:tc>
      </w:tr>
      <w:tr>
        <w:trPr>
          <w:cantSplit/>
        </w:trPr>
        <w:tc>
          <w:tcPr>
            <w:tcW w:type="dxa" w:w="1800"/>
            <w:vAlign w:val="center"/>
            <w:tcMar>
              <w:top w:w="72" w:type="dxa"/>
              <w:start w:w="84" w:type="dxa"/>
              <w:bottom w:w="72" w:type="dxa"/>
              <w:end w:w="84" w:type="dxa"/>
            </w:tcMar>
            <w:shd w:fill="F4F7F8"/>
          </w:tcPr>
          <w:p>
            <w:pPr>
              <w:spacing w:after="0"/>
            </w:pPr>
            <w:r>
              <w:rPr>
                <w:b/>
                <w:sz w:val="15"/>
              </w:rPr>
              <w:t>C3 Modeled retention</w:t>
            </w:r>
          </w:p>
        </w:tc>
        <w:tc>
          <w:tcPr>
            <w:tcW w:type="dxa" w:w="5112"/>
            <w:vAlign w:val="center"/>
            <w:tcMar>
              <w:top w:w="72" w:type="dxa"/>
              <w:start w:w="84" w:type="dxa"/>
              <w:bottom w:w="72" w:type="dxa"/>
              <w:end w:w="84" w:type="dxa"/>
            </w:tcMar>
            <w:shd w:fill="F4F7F8"/>
          </w:tcPr>
          <w:p>
            <w:pPr>
              <w:spacing w:after="0"/>
            </w:pPr>
            <w:r>
              <w:rPr>
                <w:b w:val="0"/>
                <w:sz w:val="15"/>
              </w:rPr>
              <w:t>Apply the method to a parallel claim about a repaired roof.</w:t>
            </w:r>
          </w:p>
        </w:tc>
        <w:tc>
          <w:tcPr>
            <w:tcW w:type="dxa" w:w="3312"/>
            <w:vAlign w:val="center"/>
            <w:tcMar>
              <w:top w:w="72" w:type="dxa"/>
              <w:start w:w="84" w:type="dxa"/>
              <w:bottom w:w="72" w:type="dxa"/>
              <w:end w:w="84" w:type="dxa"/>
            </w:tcMar>
            <w:shd w:fill="F4F7F8"/>
          </w:tcPr>
          <w:p>
            <w:pPr>
              <w:spacing w:after="0"/>
            </w:pPr>
            <w:r>
              <w:rPr>
                <w:b w:val="0"/>
                <w:sz w:val="15"/>
              </w:rPr>
              <w:t>Record structure only; no elapsed time is claimed.</w:t>
            </w:r>
          </w:p>
        </w:tc>
      </w:tr>
      <w:tr>
        <w:trPr>
          <w:cantSplit/>
        </w:trPr>
        <w:tc>
          <w:tcPr>
            <w:tcW w:type="dxa" w:w="1800"/>
            <w:vAlign w:val="center"/>
            <w:tcMar>
              <w:top w:w="72" w:type="dxa"/>
              <w:start w:w="84" w:type="dxa"/>
              <w:bottom w:w="72" w:type="dxa"/>
              <w:end w:w="84" w:type="dxa"/>
            </w:tcMar>
          </w:tcPr>
          <w:p>
            <w:pPr>
              <w:spacing w:after="0"/>
            </w:pPr>
            <w:r>
              <w:rPr>
                <w:b/>
                <w:sz w:val="15"/>
              </w:rPr>
              <w:t>C4 Modeled transfer</w:t>
            </w:r>
          </w:p>
        </w:tc>
        <w:tc>
          <w:tcPr>
            <w:tcW w:type="dxa" w:w="5112"/>
            <w:vAlign w:val="center"/>
            <w:tcMar>
              <w:top w:w="72" w:type="dxa"/>
              <w:start w:w="84" w:type="dxa"/>
              <w:bottom w:w="72" w:type="dxa"/>
              <w:end w:w="84" w:type="dxa"/>
            </w:tcMar>
          </w:tcPr>
          <w:p>
            <w:pPr>
              <w:spacing w:after="0"/>
            </w:pPr>
            <w:r>
              <w:rPr>
                <w:b w:val="0"/>
                <w:sz w:val="15"/>
              </w:rPr>
              <w:t>Assess a public claim based on one favorable measurement and a contrary observation.</w:t>
            </w:r>
          </w:p>
        </w:tc>
        <w:tc>
          <w:tcPr>
            <w:tcW w:type="dxa" w:w="3312"/>
            <w:vAlign w:val="center"/>
            <w:tcMar>
              <w:top w:w="72" w:type="dxa"/>
              <w:start w:w="84" w:type="dxa"/>
              <w:bottom w:w="72" w:type="dxa"/>
              <w:end w:w="84" w:type="dxa"/>
            </w:tcMar>
          </w:tcPr>
          <w:p>
            <w:pPr>
              <w:spacing w:after="0"/>
            </w:pPr>
            <w:r>
              <w:rPr>
                <w:b w:val="0"/>
                <w:sz w:val="15"/>
              </w:rPr>
              <w:t>New domain requiring method adaptation.</w:t>
            </w:r>
          </w:p>
        </w:tc>
      </w:tr>
    </w:tbl>
    <w:p>
      <w:pPr>
        <w:pStyle w:val="Heading2"/>
      </w:pPr>
      <w:r>
        <w:t>Human only boundary</w:t>
      </w:r>
    </w:p>
    <w:p>
      <w:pPr>
        <w:pStyle w:val="ListBullet"/>
      </w:pPr>
      <w:r>
        <w:t>No artificial intelligence, artificial intelligence enabled search, grammar generation, outline generation, or automated critique is introduced.</w:t>
      </w:r>
    </w:p>
    <w:p>
      <w:pPr>
        <w:pStyle w:val="ListBullet"/>
      </w:pPr>
      <w:r>
        <w:t>Ordinary instructor questions and permitted peer discussion are recorded as context rather than treated as contamination.</w:t>
      </w:r>
    </w:p>
    <w:p>
      <w:pPr>
        <w:pStyle w:val="ListBullet"/>
      </w:pPr>
      <w:r>
        <w:t>The exercise does not represent an actual Thomas Aquinas College text, assignment, assessment, or result.</w:t>
      </w:r>
    </w:p>
    <w:p>
      <w:pPr>
        <w:spacing w:before="100" w:after="40"/>
      </w:pPr>
      <w:r>
        <w:rPr>
          <w:b/>
        </w:rPr>
        <w:t xml:space="preserve">Official sources  </w:t>
      </w:r>
      <w:hyperlink r:id="rId9">
        <w:r>
          <w:rPr>
            <w:color w:val="346685"/>
            <w:u w:val="single"/>
          </w:rPr>
          <w:t>Thomas Aquinas College California Code of Conduct</w:t>
        </w:r>
      </w:hyperlink>
      <w:r>
        <w:t xml:space="preserve">  |  </w:t>
      </w:r>
      <w:hyperlink r:id="rId10">
        <w:r>
          <w:rPr>
            <w:color w:val="346685"/>
            <w:u w:val="single"/>
          </w:rPr>
          <w:t>Thomas Aquinas College curriculum</w:t>
        </w:r>
      </w:hyperlink>
    </w:p>
    <w:p>
      <w:r>
        <w:br w:type="page"/>
      </w:r>
    </w:p>
    <w:p>
      <w:pPr>
        <w:pStyle w:val="Heading1"/>
      </w:pPr>
      <w:r>
        <w:t>Packet A constructed response chain</w:t>
      </w:r>
    </w:p>
    <w:p>
      <w:pPr>
        <w:pStyle w:val="Heading2"/>
      </w:pPr>
      <w:r>
        <w:t>C0 constructed baseline</w:t>
      </w:r>
    </w:p>
    <w:p>
      <w:pPr>
        <w:spacing w:after="60"/>
      </w:pPr>
      <w:r>
        <w:rPr>
          <w:b/>
        </w:rPr>
        <w:t xml:space="preserve">Response excerpt  </w:t>
      </w:r>
      <w:r>
        <w:t>The bridge is probably safe because it is old and the builder knows more. The objection is that nothing is certain. More inspection would make the conclusion stronger.</w:t>
      </w:r>
    </w:p>
    <w:p>
      <w:pPr>
        <w:spacing w:after="60"/>
      </w:pPr>
      <w:r>
        <w:rPr>
          <w:b/>
        </w:rPr>
        <w:t xml:space="preserve">Designed weakness  </w:t>
      </w:r>
      <w:r>
        <w:t>The response states a conclusion but does not identify the decisive evidence, answer the objection, or say which fact would reverse the judgment.</w:t>
      </w:r>
    </w:p>
    <w:p>
      <w:pPr>
        <w:pStyle w:val="Heading2"/>
      </w:pPr>
      <w:r>
        <w:t>C2 constructed immediate response</w:t>
      </w:r>
    </w:p>
    <w:p>
      <w:pPr>
        <w:spacing w:after="60"/>
      </w:pPr>
      <w:r>
        <w:rPr>
          <w:b/>
        </w:rPr>
        <w:t xml:space="preserve">Response excerpt  </w:t>
      </w:r>
      <w:r>
        <w:t>The gauge is reliable only if repeated readings are tied to a known reference and the operating conditions are stable. A serious objection is that agreement across readings may repeat the same calibration error. The conclusion should therefore remain conditional until an independent standard is checked. A failed reference test would reverse it.</w:t>
      </w:r>
    </w:p>
    <w:p>
      <w:pPr>
        <w:spacing w:after="60"/>
      </w:pPr>
      <w:r>
        <w:rPr>
          <w:b/>
        </w:rPr>
        <w:t xml:space="preserve">Designed strength  </w:t>
      </w:r>
      <w:r>
        <w:t>The response connects evidence to the claim, treats the objection fairly, and states a revision condition.</w:t>
      </w:r>
    </w:p>
    <w:p>
      <w:pPr>
        <w:pStyle w:val="Heading2"/>
      </w:pPr>
      <w:r>
        <w:t>C3 modeled retention response</w:t>
      </w:r>
    </w:p>
    <w:p>
      <w:pPr>
        <w:spacing w:after="60"/>
      </w:pPr>
      <w:r>
        <w:rPr>
          <w:b/>
        </w:rPr>
        <w:t xml:space="preserve">Response excerpt  </w:t>
      </w:r>
      <w:r>
        <w:t>The roof's age since repair matters, but the relevant evidence is whether the repair addressed the failure and survived comparable weather. A dry season is not a demanding test. Inspection after heavy rain could change the conclusion.</w:t>
      </w:r>
    </w:p>
    <w:p>
      <w:pPr>
        <w:spacing w:after="60"/>
      </w:pPr>
      <w:r>
        <w:rPr>
          <w:b/>
        </w:rPr>
        <w:t xml:space="preserve">Designed limitation  </w:t>
      </w:r>
      <w:r>
        <w:t>The response retains the method but does not fully answer whether repeated inspection can justify action under remaining uncertainty.</w:t>
      </w:r>
    </w:p>
    <w:p>
      <w:pPr>
        <w:pStyle w:val="Heading2"/>
      </w:pPr>
      <w:r>
        <w:t>C4 modeled transfer response</w:t>
      </w:r>
    </w:p>
    <w:p>
      <w:pPr>
        <w:spacing w:after="60"/>
      </w:pPr>
      <w:r>
        <w:rPr>
          <w:b/>
        </w:rPr>
        <w:t xml:space="preserve">Response excerpt  </w:t>
      </w:r>
      <w:r>
        <w:t>One favorable measurement supports the public claim only within the conditions in which it was taken. The contrary observation may identify a different condition or a faulty measure. The responsible conclusion is provisional until the conflict is investigated. A second independent measure under both conditions would determine whether the method or the claim must change.</w:t>
      </w:r>
    </w:p>
    <w:p>
      <w:pPr>
        <w:spacing w:after="60"/>
      </w:pPr>
      <w:r>
        <w:rPr>
          <w:b/>
        </w:rPr>
        <w:t xml:space="preserve">Designed transfer  </w:t>
      </w:r>
      <w:r>
        <w:t>The response adapts the method to conflicting evidence without merely repeating the bridge language.</w:t>
      </w:r>
    </w:p>
    <w:p>
      <w:pPr>
        <w:pStyle w:val="Heading2"/>
      </w:pPr>
      <w:r>
        <w:t>Oral record needed</w:t>
      </w:r>
    </w:p>
    <w:p>
      <w:r>
        <w:t>The written examples cannot establish oral ownership. A tabletop reviewer should add a separate oral response or transcript before scoring that dimension. The dry run marks oral ownership missing rather than assigning a low score.</w:t>
      </w:r>
    </w:p>
    <w:p>
      <w:r>
        <w:br w:type="page"/>
      </w:r>
    </w:p>
    <w:p>
      <w:pPr>
        <w:pStyle w:val="Heading1"/>
      </w:pPr>
      <w:r>
        <w:t>Packet A synthetic scoring results</w:t>
      </w:r>
    </w:p>
    <w:p>
      <w:r>
        <w:t>The values below were assigned in two analytic passes to test the form. They do not describe observed students. A dash means the dimension was not available in the constructed evidence.</w:t>
      </w:r>
    </w:p>
    <w:tbl>
      <w:tblPr>
        <w:tblStyle w:val="TableGrid"/>
        <w:tblW w:type="auto" w:w="0"/>
        <w:jc w:val="center"/>
        <w:tblLayout w:type="fixed"/>
        <w:tblLook w:firstColumn="1" w:firstRow="1" w:lastColumn="0" w:lastRow="0" w:noHBand="0" w:noVBand="1" w:val="04A0"/>
      </w:tblPr>
      <w:tblGrid>
        <w:gridCol w:w="1149"/>
        <w:gridCol w:w="1149"/>
        <w:gridCol w:w="1149"/>
        <w:gridCol w:w="1149"/>
        <w:gridCol w:w="1149"/>
        <w:gridCol w:w="1149"/>
        <w:gridCol w:w="1149"/>
        <w:gridCol w:w="1149"/>
        <w:gridCol w:w="1149"/>
      </w:tblGrid>
      <w:tr>
        <w:trPr>
          <w:tblHeader w:val="true"/>
          <w:cantSplit/>
        </w:trPr>
        <w:tc>
          <w:tcPr>
            <w:tcW w:type="dxa" w:w="2016"/>
            <w:vAlign w:val="center"/>
            <w:shd w:fill="193F58"/>
            <w:tcMar>
              <w:top w:w="72" w:type="dxa"/>
              <w:start w:w="84" w:type="dxa"/>
              <w:bottom w:w="72" w:type="dxa"/>
              <w:end w:w="84" w:type="dxa"/>
            </w:tcMar>
          </w:tcPr>
          <w:p>
            <w:pPr>
              <w:spacing w:after="0"/>
            </w:pPr>
            <w:r>
              <w:rPr>
                <w:b/>
                <w:color w:val="FFFFFF"/>
                <w:sz w:val="13"/>
              </w:rPr>
              <w:t>Dimension</w:t>
            </w:r>
          </w:p>
        </w:tc>
        <w:tc>
          <w:tcPr>
            <w:tcW w:type="dxa" w:w="1022"/>
            <w:vAlign w:val="center"/>
            <w:shd w:fill="193F58"/>
            <w:tcMar>
              <w:top w:w="72" w:type="dxa"/>
              <w:start w:w="84" w:type="dxa"/>
              <w:bottom w:w="72" w:type="dxa"/>
              <w:end w:w="84" w:type="dxa"/>
            </w:tcMar>
          </w:tcPr>
          <w:p>
            <w:pPr>
              <w:spacing w:after="0"/>
            </w:pPr>
            <w:r>
              <w:rPr>
                <w:b/>
                <w:color w:val="FFFFFF"/>
                <w:sz w:val="13"/>
              </w:rPr>
              <w:t>C0 P1</w:t>
            </w:r>
          </w:p>
        </w:tc>
        <w:tc>
          <w:tcPr>
            <w:tcW w:type="dxa" w:w="1022"/>
            <w:vAlign w:val="center"/>
            <w:shd w:fill="193F58"/>
            <w:tcMar>
              <w:top w:w="72" w:type="dxa"/>
              <w:start w:w="84" w:type="dxa"/>
              <w:bottom w:w="72" w:type="dxa"/>
              <w:end w:w="84" w:type="dxa"/>
            </w:tcMar>
          </w:tcPr>
          <w:p>
            <w:pPr>
              <w:spacing w:after="0"/>
            </w:pPr>
            <w:r>
              <w:rPr>
                <w:b/>
                <w:color w:val="FFFFFF"/>
                <w:sz w:val="13"/>
              </w:rPr>
              <w:t>C0 P2</w:t>
            </w:r>
          </w:p>
        </w:tc>
        <w:tc>
          <w:tcPr>
            <w:tcW w:type="dxa" w:w="1022"/>
            <w:vAlign w:val="center"/>
            <w:shd w:fill="193F58"/>
            <w:tcMar>
              <w:top w:w="72" w:type="dxa"/>
              <w:start w:w="84" w:type="dxa"/>
              <w:bottom w:w="72" w:type="dxa"/>
              <w:end w:w="84" w:type="dxa"/>
            </w:tcMar>
          </w:tcPr>
          <w:p>
            <w:pPr>
              <w:spacing w:after="0"/>
            </w:pPr>
            <w:r>
              <w:rPr>
                <w:b/>
                <w:color w:val="FFFFFF"/>
                <w:sz w:val="13"/>
              </w:rPr>
              <w:t>C2 P1</w:t>
            </w:r>
          </w:p>
        </w:tc>
        <w:tc>
          <w:tcPr>
            <w:tcW w:type="dxa" w:w="1022"/>
            <w:vAlign w:val="center"/>
            <w:shd w:fill="193F58"/>
            <w:tcMar>
              <w:top w:w="72" w:type="dxa"/>
              <w:start w:w="84" w:type="dxa"/>
              <w:bottom w:w="72" w:type="dxa"/>
              <w:end w:w="84" w:type="dxa"/>
            </w:tcMar>
          </w:tcPr>
          <w:p>
            <w:pPr>
              <w:spacing w:after="0"/>
            </w:pPr>
            <w:r>
              <w:rPr>
                <w:b/>
                <w:color w:val="FFFFFF"/>
                <w:sz w:val="13"/>
              </w:rPr>
              <w:t>C2 P2</w:t>
            </w:r>
          </w:p>
        </w:tc>
        <w:tc>
          <w:tcPr>
            <w:tcW w:type="dxa" w:w="1022"/>
            <w:vAlign w:val="center"/>
            <w:shd w:fill="193F58"/>
            <w:tcMar>
              <w:top w:w="72" w:type="dxa"/>
              <w:start w:w="84" w:type="dxa"/>
              <w:bottom w:w="72" w:type="dxa"/>
              <w:end w:w="84" w:type="dxa"/>
            </w:tcMar>
          </w:tcPr>
          <w:p>
            <w:pPr>
              <w:spacing w:after="0"/>
            </w:pPr>
            <w:r>
              <w:rPr>
                <w:b/>
                <w:color w:val="FFFFFF"/>
                <w:sz w:val="13"/>
              </w:rPr>
              <w:t>C3 P1</w:t>
            </w:r>
          </w:p>
        </w:tc>
        <w:tc>
          <w:tcPr>
            <w:tcW w:type="dxa" w:w="1022"/>
            <w:vAlign w:val="center"/>
            <w:shd w:fill="193F58"/>
            <w:tcMar>
              <w:top w:w="72" w:type="dxa"/>
              <w:start w:w="84" w:type="dxa"/>
              <w:bottom w:w="72" w:type="dxa"/>
              <w:end w:w="84" w:type="dxa"/>
            </w:tcMar>
          </w:tcPr>
          <w:p>
            <w:pPr>
              <w:spacing w:after="0"/>
            </w:pPr>
            <w:r>
              <w:rPr>
                <w:b/>
                <w:color w:val="FFFFFF"/>
                <w:sz w:val="13"/>
              </w:rPr>
              <w:t>C3 P2</w:t>
            </w:r>
          </w:p>
        </w:tc>
        <w:tc>
          <w:tcPr>
            <w:tcW w:type="dxa" w:w="1022"/>
            <w:vAlign w:val="center"/>
            <w:shd w:fill="193F58"/>
            <w:tcMar>
              <w:top w:w="72" w:type="dxa"/>
              <w:start w:w="84" w:type="dxa"/>
              <w:bottom w:w="72" w:type="dxa"/>
              <w:end w:w="84" w:type="dxa"/>
            </w:tcMar>
          </w:tcPr>
          <w:p>
            <w:pPr>
              <w:spacing w:after="0"/>
            </w:pPr>
            <w:r>
              <w:rPr>
                <w:b/>
                <w:color w:val="FFFFFF"/>
                <w:sz w:val="13"/>
              </w:rPr>
              <w:t>C4 P1</w:t>
            </w:r>
          </w:p>
        </w:tc>
        <w:tc>
          <w:tcPr>
            <w:tcW w:type="dxa" w:w="1022"/>
            <w:vAlign w:val="center"/>
            <w:shd w:fill="193F58"/>
            <w:tcMar>
              <w:top w:w="72" w:type="dxa"/>
              <w:start w:w="84" w:type="dxa"/>
              <w:bottom w:w="72" w:type="dxa"/>
              <w:end w:w="84" w:type="dxa"/>
            </w:tcMar>
          </w:tcPr>
          <w:p>
            <w:pPr>
              <w:spacing w:after="0"/>
            </w:pPr>
            <w:r>
              <w:rPr>
                <w:b/>
                <w:color w:val="FFFFFF"/>
                <w:sz w:val="13"/>
              </w:rPr>
              <w:t>C4 P2</w:t>
            </w:r>
          </w:p>
        </w:tc>
      </w:tr>
      <w:tr>
        <w:trPr>
          <w:cantSplit/>
        </w:trPr>
        <w:tc>
          <w:tcPr>
            <w:tcW w:type="dxa" w:w="2016"/>
            <w:vAlign w:val="center"/>
            <w:tcMar>
              <w:top w:w="72" w:type="dxa"/>
              <w:start w:w="84" w:type="dxa"/>
              <w:bottom w:w="72" w:type="dxa"/>
              <w:end w:w="84" w:type="dxa"/>
            </w:tcMar>
          </w:tcPr>
          <w:p>
            <w:pPr>
              <w:spacing w:after="0"/>
            </w:pPr>
            <w:r>
              <w:rPr>
                <w:b/>
                <w:sz w:val="13"/>
              </w:rPr>
              <w:t>Accuracy</w:t>
            </w:r>
          </w:p>
        </w:tc>
        <w:tc>
          <w:tcPr>
            <w:tcW w:type="dxa" w:w="1022"/>
            <w:vAlign w:val="center"/>
            <w:tcMar>
              <w:top w:w="72" w:type="dxa"/>
              <w:start w:w="84" w:type="dxa"/>
              <w:bottom w:w="72" w:type="dxa"/>
              <w:end w:w="84" w:type="dxa"/>
            </w:tcMar>
          </w:tcPr>
          <w:p>
            <w:pPr>
              <w:spacing w:after="0"/>
              <w:jc w:val="center"/>
            </w:pPr>
            <w:r>
              <w:rPr>
                <w:b w:val="0"/>
                <w:sz w:val="13"/>
              </w:rPr>
              <w:t>2</w:t>
            </w:r>
          </w:p>
        </w:tc>
        <w:tc>
          <w:tcPr>
            <w:tcW w:type="dxa" w:w="1022"/>
            <w:vAlign w:val="center"/>
            <w:tcMar>
              <w:top w:w="72" w:type="dxa"/>
              <w:start w:w="84" w:type="dxa"/>
              <w:bottom w:w="72" w:type="dxa"/>
              <w:end w:w="84" w:type="dxa"/>
            </w:tcMar>
          </w:tcPr>
          <w:p>
            <w:pPr>
              <w:spacing w:after="0"/>
              <w:jc w:val="center"/>
            </w:pPr>
            <w:r>
              <w:rPr>
                <w:b w:val="0"/>
                <w:sz w:val="13"/>
              </w:rPr>
              <w:t>2</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r>
      <w:tr>
        <w:trPr>
          <w:cantSplit/>
        </w:trPr>
        <w:tc>
          <w:tcPr>
            <w:tcW w:type="dxa" w:w="2016"/>
            <w:vAlign w:val="center"/>
            <w:tcMar>
              <w:top w:w="72" w:type="dxa"/>
              <w:start w:w="84" w:type="dxa"/>
              <w:bottom w:w="72" w:type="dxa"/>
              <w:end w:w="84" w:type="dxa"/>
            </w:tcMar>
            <w:shd w:fill="F4F7F8"/>
          </w:tcPr>
          <w:p>
            <w:pPr>
              <w:spacing w:after="0"/>
            </w:pPr>
            <w:r>
              <w:rPr>
                <w:b/>
                <w:sz w:val="13"/>
              </w:rPr>
              <w:t>Reasoning</w:t>
            </w:r>
          </w:p>
        </w:tc>
        <w:tc>
          <w:tcPr>
            <w:tcW w:type="dxa" w:w="1022"/>
            <w:vAlign w:val="center"/>
            <w:tcMar>
              <w:top w:w="72" w:type="dxa"/>
              <w:start w:w="84" w:type="dxa"/>
              <w:bottom w:w="72" w:type="dxa"/>
              <w:end w:w="84" w:type="dxa"/>
            </w:tcMar>
            <w:shd w:fill="F4F7F8"/>
          </w:tcPr>
          <w:p>
            <w:pPr>
              <w:spacing w:after="0"/>
              <w:jc w:val="center"/>
            </w:pPr>
            <w:r>
              <w:rPr>
                <w:b w:val="0"/>
                <w:sz w:val="13"/>
              </w:rPr>
              <w:t>1</w:t>
            </w:r>
          </w:p>
        </w:tc>
        <w:tc>
          <w:tcPr>
            <w:tcW w:type="dxa" w:w="1022"/>
            <w:vAlign w:val="center"/>
            <w:tcMar>
              <w:top w:w="72" w:type="dxa"/>
              <w:start w:w="84" w:type="dxa"/>
              <w:bottom w:w="72" w:type="dxa"/>
              <w:end w:w="84" w:type="dxa"/>
            </w:tcMar>
            <w:shd w:fill="F4F7F8"/>
          </w:tcPr>
          <w:p>
            <w:pPr>
              <w:spacing w:after="0"/>
              <w:jc w:val="center"/>
            </w:pPr>
            <w:r>
              <w:rPr>
                <w:b w:val="0"/>
                <w:sz w:val="13"/>
              </w:rPr>
              <w:t>2</w:t>
            </w:r>
          </w:p>
        </w:tc>
        <w:tc>
          <w:tcPr>
            <w:tcW w:type="dxa" w:w="1022"/>
            <w:vAlign w:val="center"/>
            <w:tcMar>
              <w:top w:w="72" w:type="dxa"/>
              <w:start w:w="84" w:type="dxa"/>
              <w:bottom w:w="72" w:type="dxa"/>
              <w:end w:w="84" w:type="dxa"/>
            </w:tcMar>
            <w:shd w:fill="F4F7F8"/>
          </w:tcPr>
          <w:p>
            <w:pPr>
              <w:spacing w:after="0"/>
              <w:jc w:val="center"/>
            </w:pPr>
            <w:r>
              <w:rPr>
                <w:b w:val="0"/>
                <w:sz w:val="13"/>
              </w:rPr>
              <w:t>4</w:t>
            </w:r>
          </w:p>
        </w:tc>
        <w:tc>
          <w:tcPr>
            <w:tcW w:type="dxa" w:w="1022"/>
            <w:vAlign w:val="center"/>
            <w:tcMar>
              <w:top w:w="72" w:type="dxa"/>
              <w:start w:w="84" w:type="dxa"/>
              <w:bottom w:w="72" w:type="dxa"/>
              <w:end w:w="84" w:type="dxa"/>
            </w:tcMar>
            <w:shd w:fill="F4F7F8"/>
          </w:tcPr>
          <w:p>
            <w:pPr>
              <w:spacing w:after="0"/>
              <w:jc w:val="center"/>
            </w:pPr>
            <w:r>
              <w:rPr>
                <w:b w:val="0"/>
                <w:sz w:val="13"/>
              </w:rPr>
              <w:t>3</w:t>
            </w:r>
          </w:p>
        </w:tc>
        <w:tc>
          <w:tcPr>
            <w:tcW w:type="dxa" w:w="1022"/>
            <w:vAlign w:val="center"/>
            <w:tcMar>
              <w:top w:w="72" w:type="dxa"/>
              <w:start w:w="84" w:type="dxa"/>
              <w:bottom w:w="72" w:type="dxa"/>
              <w:end w:w="84" w:type="dxa"/>
            </w:tcMar>
            <w:shd w:fill="F4F7F8"/>
          </w:tcPr>
          <w:p>
            <w:pPr>
              <w:spacing w:after="0"/>
              <w:jc w:val="center"/>
            </w:pPr>
            <w:r>
              <w:rPr>
                <w:b w:val="0"/>
                <w:sz w:val="13"/>
              </w:rPr>
              <w:t>3</w:t>
            </w:r>
          </w:p>
        </w:tc>
        <w:tc>
          <w:tcPr>
            <w:tcW w:type="dxa" w:w="1022"/>
            <w:vAlign w:val="center"/>
            <w:tcMar>
              <w:top w:w="72" w:type="dxa"/>
              <w:start w:w="84" w:type="dxa"/>
              <w:bottom w:w="72" w:type="dxa"/>
              <w:end w:w="84" w:type="dxa"/>
            </w:tcMar>
            <w:shd w:fill="F4F7F8"/>
          </w:tcPr>
          <w:p>
            <w:pPr>
              <w:spacing w:after="0"/>
              <w:jc w:val="center"/>
            </w:pPr>
            <w:r>
              <w:rPr>
                <w:b w:val="0"/>
                <w:sz w:val="13"/>
              </w:rPr>
              <w:t>3</w:t>
            </w:r>
          </w:p>
        </w:tc>
        <w:tc>
          <w:tcPr>
            <w:tcW w:type="dxa" w:w="1022"/>
            <w:vAlign w:val="center"/>
            <w:tcMar>
              <w:top w:w="72" w:type="dxa"/>
              <w:start w:w="84" w:type="dxa"/>
              <w:bottom w:w="72" w:type="dxa"/>
              <w:end w:w="84" w:type="dxa"/>
            </w:tcMar>
            <w:shd w:fill="F4F7F8"/>
          </w:tcPr>
          <w:p>
            <w:pPr>
              <w:spacing w:after="0"/>
              <w:jc w:val="center"/>
            </w:pPr>
            <w:r>
              <w:rPr>
                <w:b w:val="0"/>
                <w:sz w:val="13"/>
              </w:rPr>
              <w:t>4</w:t>
            </w:r>
          </w:p>
        </w:tc>
        <w:tc>
          <w:tcPr>
            <w:tcW w:type="dxa" w:w="1022"/>
            <w:vAlign w:val="center"/>
            <w:tcMar>
              <w:top w:w="72" w:type="dxa"/>
              <w:start w:w="84" w:type="dxa"/>
              <w:bottom w:w="72" w:type="dxa"/>
              <w:end w:w="84" w:type="dxa"/>
            </w:tcMar>
            <w:shd w:fill="F4F7F8"/>
          </w:tcPr>
          <w:p>
            <w:pPr>
              <w:spacing w:after="0"/>
              <w:jc w:val="center"/>
            </w:pPr>
            <w:r>
              <w:rPr>
                <w:b w:val="0"/>
                <w:sz w:val="13"/>
              </w:rPr>
              <w:t>4</w:t>
            </w:r>
          </w:p>
        </w:tc>
      </w:tr>
      <w:tr>
        <w:trPr>
          <w:cantSplit/>
        </w:trPr>
        <w:tc>
          <w:tcPr>
            <w:tcW w:type="dxa" w:w="2016"/>
            <w:vAlign w:val="center"/>
            <w:tcMar>
              <w:top w:w="72" w:type="dxa"/>
              <w:start w:w="84" w:type="dxa"/>
              <w:bottom w:w="72" w:type="dxa"/>
              <w:end w:w="84" w:type="dxa"/>
            </w:tcMar>
          </w:tcPr>
          <w:p>
            <w:pPr>
              <w:spacing w:after="0"/>
            </w:pPr>
            <w:r>
              <w:rPr>
                <w:b/>
                <w:sz w:val="13"/>
              </w:rPr>
              <w:t>Evidence selection</w:t>
            </w:r>
          </w:p>
        </w:tc>
        <w:tc>
          <w:tcPr>
            <w:tcW w:type="dxa" w:w="1022"/>
            <w:vAlign w:val="center"/>
            <w:tcMar>
              <w:top w:w="72" w:type="dxa"/>
              <w:start w:w="84" w:type="dxa"/>
              <w:bottom w:w="72" w:type="dxa"/>
              <w:end w:w="84" w:type="dxa"/>
            </w:tcMar>
          </w:tcPr>
          <w:p>
            <w:pPr>
              <w:spacing w:after="0"/>
              <w:jc w:val="center"/>
            </w:pPr>
            <w:r>
              <w:rPr>
                <w:b w:val="0"/>
                <w:sz w:val="13"/>
              </w:rPr>
              <w:t>1</w:t>
            </w:r>
          </w:p>
        </w:tc>
        <w:tc>
          <w:tcPr>
            <w:tcW w:type="dxa" w:w="1022"/>
            <w:vAlign w:val="center"/>
            <w:tcMar>
              <w:top w:w="72" w:type="dxa"/>
              <w:start w:w="84" w:type="dxa"/>
              <w:bottom w:w="72" w:type="dxa"/>
              <w:end w:w="84" w:type="dxa"/>
            </w:tcMar>
          </w:tcPr>
          <w:p>
            <w:pPr>
              <w:spacing w:after="0"/>
              <w:jc w:val="center"/>
            </w:pPr>
            <w:r>
              <w:rPr>
                <w:b w:val="0"/>
                <w:sz w:val="13"/>
              </w:rPr>
              <w:t>1</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c>
          <w:tcPr>
            <w:tcW w:type="dxa" w:w="1022"/>
            <w:vAlign w:val="center"/>
            <w:tcMar>
              <w:top w:w="72" w:type="dxa"/>
              <w:start w:w="84" w:type="dxa"/>
              <w:bottom w:w="72" w:type="dxa"/>
              <w:end w:w="84" w:type="dxa"/>
            </w:tcMar>
          </w:tcPr>
          <w:p>
            <w:pPr>
              <w:spacing w:after="0"/>
              <w:jc w:val="center"/>
            </w:pPr>
            <w:r>
              <w:rPr>
                <w:b w:val="0"/>
                <w:sz w:val="13"/>
              </w:rPr>
              <w:t>3</w:t>
            </w:r>
          </w:p>
        </w:tc>
      </w:tr>
      <w:tr>
        <w:trPr>
          <w:cantSplit/>
        </w:trPr>
        <w:tc>
          <w:tcPr>
            <w:tcW w:type="dxa" w:w="2016"/>
            <w:vAlign w:val="center"/>
            <w:tcMar>
              <w:top w:w="72" w:type="dxa"/>
              <w:start w:w="84" w:type="dxa"/>
              <w:bottom w:w="72" w:type="dxa"/>
              <w:end w:w="84" w:type="dxa"/>
            </w:tcMar>
            <w:shd w:fill="F4F7F8"/>
          </w:tcPr>
          <w:p>
            <w:pPr>
              <w:spacing w:after="0"/>
            </w:pPr>
            <w:r>
              <w:rPr>
                <w:b/>
                <w:sz w:val="13"/>
              </w:rPr>
              <w:t>Objection and response</w:t>
            </w:r>
          </w:p>
        </w:tc>
        <w:tc>
          <w:tcPr>
            <w:tcW w:type="dxa" w:w="1022"/>
            <w:vAlign w:val="center"/>
            <w:tcMar>
              <w:top w:w="72" w:type="dxa"/>
              <w:start w:w="84" w:type="dxa"/>
              <w:bottom w:w="72" w:type="dxa"/>
              <w:end w:w="84" w:type="dxa"/>
            </w:tcMar>
            <w:shd w:fill="F4F7F8"/>
          </w:tcPr>
          <w:p>
            <w:pPr>
              <w:spacing w:after="0"/>
              <w:jc w:val="center"/>
            </w:pPr>
            <w:r>
              <w:rPr>
                <w:b w:val="0"/>
                <w:sz w:val="13"/>
              </w:rPr>
              <w:t>1</w:t>
            </w:r>
          </w:p>
        </w:tc>
        <w:tc>
          <w:tcPr>
            <w:tcW w:type="dxa" w:w="1022"/>
            <w:vAlign w:val="center"/>
            <w:tcMar>
              <w:top w:w="72" w:type="dxa"/>
              <w:start w:w="84" w:type="dxa"/>
              <w:bottom w:w="72" w:type="dxa"/>
              <w:end w:w="84" w:type="dxa"/>
            </w:tcMar>
            <w:shd w:fill="F4F7F8"/>
          </w:tcPr>
          <w:p>
            <w:pPr>
              <w:spacing w:after="0"/>
              <w:jc w:val="center"/>
            </w:pPr>
            <w:r>
              <w:rPr>
                <w:b w:val="0"/>
                <w:sz w:val="13"/>
              </w:rPr>
              <w:t>1</w:t>
            </w:r>
          </w:p>
        </w:tc>
        <w:tc>
          <w:tcPr>
            <w:tcW w:type="dxa" w:w="1022"/>
            <w:vAlign w:val="center"/>
            <w:tcMar>
              <w:top w:w="72" w:type="dxa"/>
              <w:start w:w="84" w:type="dxa"/>
              <w:bottom w:w="72" w:type="dxa"/>
              <w:end w:w="84" w:type="dxa"/>
            </w:tcMar>
            <w:shd w:fill="F4F7F8"/>
          </w:tcPr>
          <w:p>
            <w:pPr>
              <w:spacing w:after="0"/>
              <w:jc w:val="center"/>
            </w:pPr>
            <w:r>
              <w:rPr>
                <w:b w:val="0"/>
                <w:sz w:val="13"/>
              </w:rPr>
              <w:t>4</w:t>
            </w:r>
          </w:p>
        </w:tc>
        <w:tc>
          <w:tcPr>
            <w:tcW w:type="dxa" w:w="1022"/>
            <w:vAlign w:val="center"/>
            <w:tcMar>
              <w:top w:w="72" w:type="dxa"/>
              <w:start w:w="84" w:type="dxa"/>
              <w:bottom w:w="72" w:type="dxa"/>
              <w:end w:w="84" w:type="dxa"/>
            </w:tcMar>
            <w:shd w:fill="F4F7F8"/>
          </w:tcPr>
          <w:p>
            <w:pPr>
              <w:spacing w:after="0"/>
              <w:jc w:val="center"/>
            </w:pPr>
            <w:r>
              <w:rPr>
                <w:b w:val="0"/>
                <w:sz w:val="13"/>
              </w:rPr>
              <w:t>4</w:t>
            </w:r>
          </w:p>
        </w:tc>
        <w:tc>
          <w:tcPr>
            <w:tcW w:type="dxa" w:w="1022"/>
            <w:vAlign w:val="center"/>
            <w:tcMar>
              <w:top w:w="72" w:type="dxa"/>
              <w:start w:w="84" w:type="dxa"/>
              <w:bottom w:w="72" w:type="dxa"/>
              <w:end w:w="84" w:type="dxa"/>
            </w:tcMar>
            <w:shd w:fill="F4F7F8"/>
          </w:tcPr>
          <w:p>
            <w:pPr>
              <w:spacing w:after="0"/>
              <w:jc w:val="center"/>
            </w:pPr>
            <w:r>
              <w:rPr>
                <w:b w:val="0"/>
                <w:sz w:val="13"/>
              </w:rPr>
              <w:t>2</w:t>
            </w:r>
          </w:p>
        </w:tc>
        <w:tc>
          <w:tcPr>
            <w:tcW w:type="dxa" w:w="1022"/>
            <w:vAlign w:val="center"/>
            <w:tcMar>
              <w:top w:w="72" w:type="dxa"/>
              <w:start w:w="84" w:type="dxa"/>
              <w:bottom w:w="72" w:type="dxa"/>
              <w:end w:w="84" w:type="dxa"/>
            </w:tcMar>
            <w:shd w:fill="F4F7F8"/>
          </w:tcPr>
          <w:p>
            <w:pPr>
              <w:spacing w:after="0"/>
              <w:jc w:val="center"/>
            </w:pPr>
            <w:r>
              <w:rPr>
                <w:b w:val="0"/>
                <w:sz w:val="13"/>
              </w:rPr>
              <w:t>3</w:t>
            </w:r>
          </w:p>
        </w:tc>
        <w:tc>
          <w:tcPr>
            <w:tcW w:type="dxa" w:w="1022"/>
            <w:vAlign w:val="center"/>
            <w:tcMar>
              <w:top w:w="72" w:type="dxa"/>
              <w:start w:w="84" w:type="dxa"/>
              <w:bottom w:w="72" w:type="dxa"/>
              <w:end w:w="84" w:type="dxa"/>
            </w:tcMar>
            <w:shd w:fill="F4F7F8"/>
          </w:tcPr>
          <w:p>
            <w:pPr>
              <w:spacing w:after="0"/>
              <w:jc w:val="center"/>
            </w:pPr>
            <w:r>
              <w:rPr>
                <w:b w:val="0"/>
                <w:sz w:val="13"/>
              </w:rPr>
              <w:t>3</w:t>
            </w:r>
          </w:p>
        </w:tc>
        <w:tc>
          <w:tcPr>
            <w:tcW w:type="dxa" w:w="1022"/>
            <w:vAlign w:val="center"/>
            <w:tcMar>
              <w:top w:w="72" w:type="dxa"/>
              <w:start w:w="84" w:type="dxa"/>
              <w:bottom w:w="72" w:type="dxa"/>
              <w:end w:w="84" w:type="dxa"/>
            </w:tcMar>
            <w:shd w:fill="F4F7F8"/>
          </w:tcPr>
          <w:p>
            <w:pPr>
              <w:spacing w:after="0"/>
              <w:jc w:val="center"/>
            </w:pPr>
            <w:r>
              <w:rPr>
                <w:b w:val="0"/>
                <w:sz w:val="13"/>
              </w:rPr>
              <w:t>3</w:t>
            </w:r>
          </w:p>
        </w:tc>
      </w:tr>
      <w:tr>
        <w:trPr>
          <w:cantSplit/>
        </w:trPr>
        <w:tc>
          <w:tcPr>
            <w:tcW w:type="dxa" w:w="2016"/>
            <w:vAlign w:val="center"/>
            <w:tcMar>
              <w:top w:w="72" w:type="dxa"/>
              <w:start w:w="84" w:type="dxa"/>
              <w:bottom w:w="72" w:type="dxa"/>
              <w:end w:w="84" w:type="dxa"/>
            </w:tcMar>
          </w:tcPr>
          <w:p>
            <w:pPr>
              <w:spacing w:after="0"/>
            </w:pPr>
            <w:r>
              <w:rPr>
                <w:b/>
                <w:sz w:val="13"/>
              </w:rPr>
              <w:t>Oral ownership</w:t>
            </w:r>
          </w:p>
        </w:tc>
        <w:tc>
          <w:tcPr>
            <w:tcW w:type="dxa" w:w="1022"/>
            <w:vAlign w:val="center"/>
            <w:tcMar>
              <w:top w:w="72" w:type="dxa"/>
              <w:start w:w="84" w:type="dxa"/>
              <w:bottom w:w="72" w:type="dxa"/>
              <w:end w:w="84" w:type="dxa"/>
            </w:tcMar>
          </w:tcPr>
          <w:p>
            <w:pPr>
              <w:spacing w:after="0"/>
              <w:jc w:val="center"/>
            </w:pPr>
            <w:r>
              <w:rPr>
                <w:b w:val="0"/>
                <w:sz w:val="13"/>
              </w:rPr>
              <w:t>—</w:t>
            </w:r>
          </w:p>
        </w:tc>
        <w:tc>
          <w:tcPr>
            <w:tcW w:type="dxa" w:w="1022"/>
            <w:vAlign w:val="center"/>
            <w:tcMar>
              <w:top w:w="72" w:type="dxa"/>
              <w:start w:w="84" w:type="dxa"/>
              <w:bottom w:w="72" w:type="dxa"/>
              <w:end w:w="84" w:type="dxa"/>
            </w:tcMar>
          </w:tcPr>
          <w:p>
            <w:pPr>
              <w:spacing w:after="0"/>
              <w:jc w:val="center"/>
            </w:pPr>
            <w:r>
              <w:rPr>
                <w:b w:val="0"/>
                <w:sz w:val="13"/>
              </w:rPr>
              <w:t>—</w:t>
            </w:r>
          </w:p>
        </w:tc>
        <w:tc>
          <w:tcPr>
            <w:tcW w:type="dxa" w:w="1022"/>
            <w:vAlign w:val="center"/>
            <w:tcMar>
              <w:top w:w="72" w:type="dxa"/>
              <w:start w:w="84" w:type="dxa"/>
              <w:bottom w:w="72" w:type="dxa"/>
              <w:end w:w="84" w:type="dxa"/>
            </w:tcMar>
          </w:tcPr>
          <w:p>
            <w:pPr>
              <w:spacing w:after="0"/>
              <w:jc w:val="center"/>
            </w:pPr>
            <w:r>
              <w:rPr>
                <w:b w:val="0"/>
                <w:sz w:val="13"/>
              </w:rPr>
              <w:t>—</w:t>
            </w:r>
          </w:p>
        </w:tc>
        <w:tc>
          <w:tcPr>
            <w:tcW w:type="dxa" w:w="1022"/>
            <w:vAlign w:val="center"/>
            <w:tcMar>
              <w:top w:w="72" w:type="dxa"/>
              <w:start w:w="84" w:type="dxa"/>
              <w:bottom w:w="72" w:type="dxa"/>
              <w:end w:w="84" w:type="dxa"/>
            </w:tcMar>
          </w:tcPr>
          <w:p>
            <w:pPr>
              <w:spacing w:after="0"/>
              <w:jc w:val="center"/>
            </w:pPr>
            <w:r>
              <w:rPr>
                <w:b w:val="0"/>
                <w:sz w:val="13"/>
              </w:rPr>
              <w:t>—</w:t>
            </w:r>
          </w:p>
        </w:tc>
        <w:tc>
          <w:tcPr>
            <w:tcW w:type="dxa" w:w="1022"/>
            <w:vAlign w:val="center"/>
            <w:tcMar>
              <w:top w:w="72" w:type="dxa"/>
              <w:start w:w="84" w:type="dxa"/>
              <w:bottom w:w="72" w:type="dxa"/>
              <w:end w:w="84" w:type="dxa"/>
            </w:tcMar>
          </w:tcPr>
          <w:p>
            <w:pPr>
              <w:spacing w:after="0"/>
              <w:jc w:val="center"/>
            </w:pPr>
            <w:r>
              <w:rPr>
                <w:b w:val="0"/>
                <w:sz w:val="13"/>
              </w:rPr>
              <w:t>—</w:t>
            </w:r>
          </w:p>
        </w:tc>
        <w:tc>
          <w:tcPr>
            <w:tcW w:type="dxa" w:w="1022"/>
            <w:vAlign w:val="center"/>
            <w:tcMar>
              <w:top w:w="72" w:type="dxa"/>
              <w:start w:w="84" w:type="dxa"/>
              <w:bottom w:w="72" w:type="dxa"/>
              <w:end w:w="84" w:type="dxa"/>
            </w:tcMar>
          </w:tcPr>
          <w:p>
            <w:pPr>
              <w:spacing w:after="0"/>
              <w:jc w:val="center"/>
            </w:pPr>
            <w:r>
              <w:rPr>
                <w:b w:val="0"/>
                <w:sz w:val="13"/>
              </w:rPr>
              <w:t>—</w:t>
            </w:r>
          </w:p>
        </w:tc>
        <w:tc>
          <w:tcPr>
            <w:tcW w:type="dxa" w:w="1022"/>
            <w:vAlign w:val="center"/>
            <w:tcMar>
              <w:top w:w="72" w:type="dxa"/>
              <w:start w:w="84" w:type="dxa"/>
              <w:bottom w:w="72" w:type="dxa"/>
              <w:end w:w="84" w:type="dxa"/>
            </w:tcMar>
          </w:tcPr>
          <w:p>
            <w:pPr>
              <w:spacing w:after="0"/>
              <w:jc w:val="center"/>
            </w:pPr>
            <w:r>
              <w:rPr>
                <w:b w:val="0"/>
                <w:sz w:val="13"/>
              </w:rPr>
              <w:t>—</w:t>
            </w:r>
          </w:p>
        </w:tc>
        <w:tc>
          <w:tcPr>
            <w:tcW w:type="dxa" w:w="1022"/>
            <w:vAlign w:val="center"/>
            <w:tcMar>
              <w:top w:w="72" w:type="dxa"/>
              <w:start w:w="84" w:type="dxa"/>
              <w:bottom w:w="72" w:type="dxa"/>
              <w:end w:w="84" w:type="dxa"/>
            </w:tcMar>
          </w:tcPr>
          <w:p>
            <w:pPr>
              <w:spacing w:after="0"/>
              <w:jc w:val="center"/>
            </w:pPr>
            <w:r>
              <w:rPr>
                <w:b w:val="0"/>
                <w:sz w:val="13"/>
              </w:rPr>
              <w:t>—</w:t>
            </w:r>
          </w:p>
        </w:tc>
      </w:tr>
      <w:tr>
        <w:trPr>
          <w:cantSplit/>
        </w:trPr>
        <w:tc>
          <w:tcPr>
            <w:tcW w:type="dxa" w:w="2016"/>
            <w:vAlign w:val="center"/>
            <w:tcMar>
              <w:top w:w="72" w:type="dxa"/>
              <w:start w:w="84" w:type="dxa"/>
              <w:bottom w:w="72" w:type="dxa"/>
              <w:end w:w="84" w:type="dxa"/>
            </w:tcMar>
            <w:shd w:fill="F4F7F8"/>
          </w:tcPr>
          <w:p>
            <w:pPr>
              <w:spacing w:after="0"/>
            </w:pPr>
            <w:r>
              <w:rPr>
                <w:b/>
                <w:sz w:val="13"/>
              </w:rPr>
              <w:t>Correction and humility</w:t>
            </w:r>
          </w:p>
        </w:tc>
        <w:tc>
          <w:tcPr>
            <w:tcW w:type="dxa" w:w="1022"/>
            <w:vAlign w:val="center"/>
            <w:tcMar>
              <w:top w:w="72" w:type="dxa"/>
              <w:start w:w="84" w:type="dxa"/>
              <w:bottom w:w="72" w:type="dxa"/>
              <w:end w:w="84" w:type="dxa"/>
            </w:tcMar>
            <w:shd w:fill="F4F7F8"/>
          </w:tcPr>
          <w:p>
            <w:pPr>
              <w:spacing w:after="0"/>
              <w:jc w:val="center"/>
            </w:pPr>
            <w:r>
              <w:rPr>
                <w:b w:val="0"/>
                <w:sz w:val="13"/>
              </w:rPr>
              <w:t>1</w:t>
            </w:r>
          </w:p>
        </w:tc>
        <w:tc>
          <w:tcPr>
            <w:tcW w:type="dxa" w:w="1022"/>
            <w:vAlign w:val="center"/>
            <w:tcMar>
              <w:top w:w="72" w:type="dxa"/>
              <w:start w:w="84" w:type="dxa"/>
              <w:bottom w:w="72" w:type="dxa"/>
              <w:end w:w="84" w:type="dxa"/>
            </w:tcMar>
            <w:shd w:fill="F4F7F8"/>
          </w:tcPr>
          <w:p>
            <w:pPr>
              <w:spacing w:after="0"/>
              <w:jc w:val="center"/>
            </w:pPr>
            <w:r>
              <w:rPr>
                <w:b w:val="0"/>
                <w:sz w:val="13"/>
              </w:rPr>
              <w:t>1</w:t>
            </w:r>
          </w:p>
        </w:tc>
        <w:tc>
          <w:tcPr>
            <w:tcW w:type="dxa" w:w="1022"/>
            <w:vAlign w:val="center"/>
            <w:tcMar>
              <w:top w:w="72" w:type="dxa"/>
              <w:start w:w="84" w:type="dxa"/>
              <w:bottom w:w="72" w:type="dxa"/>
              <w:end w:w="84" w:type="dxa"/>
            </w:tcMar>
            <w:shd w:fill="F4F7F8"/>
          </w:tcPr>
          <w:p>
            <w:pPr>
              <w:spacing w:after="0"/>
              <w:jc w:val="center"/>
            </w:pPr>
            <w:r>
              <w:rPr>
                <w:b w:val="0"/>
                <w:sz w:val="13"/>
              </w:rPr>
              <w:t>4</w:t>
            </w:r>
          </w:p>
        </w:tc>
        <w:tc>
          <w:tcPr>
            <w:tcW w:type="dxa" w:w="1022"/>
            <w:vAlign w:val="center"/>
            <w:tcMar>
              <w:top w:w="72" w:type="dxa"/>
              <w:start w:w="84" w:type="dxa"/>
              <w:bottom w:w="72" w:type="dxa"/>
              <w:end w:w="84" w:type="dxa"/>
            </w:tcMar>
            <w:shd w:fill="F4F7F8"/>
          </w:tcPr>
          <w:p>
            <w:pPr>
              <w:spacing w:after="0"/>
              <w:jc w:val="center"/>
            </w:pPr>
            <w:r>
              <w:rPr>
                <w:b w:val="0"/>
                <w:sz w:val="13"/>
              </w:rPr>
              <w:t>4</w:t>
            </w:r>
          </w:p>
        </w:tc>
        <w:tc>
          <w:tcPr>
            <w:tcW w:type="dxa" w:w="1022"/>
            <w:vAlign w:val="center"/>
            <w:tcMar>
              <w:top w:w="72" w:type="dxa"/>
              <w:start w:w="84" w:type="dxa"/>
              <w:bottom w:w="72" w:type="dxa"/>
              <w:end w:w="84" w:type="dxa"/>
            </w:tcMar>
            <w:shd w:fill="F4F7F8"/>
          </w:tcPr>
          <w:p>
            <w:pPr>
              <w:spacing w:after="0"/>
              <w:jc w:val="center"/>
            </w:pPr>
            <w:r>
              <w:rPr>
                <w:b w:val="0"/>
                <w:sz w:val="13"/>
              </w:rPr>
              <w:t>3</w:t>
            </w:r>
          </w:p>
        </w:tc>
        <w:tc>
          <w:tcPr>
            <w:tcW w:type="dxa" w:w="1022"/>
            <w:vAlign w:val="center"/>
            <w:tcMar>
              <w:top w:w="72" w:type="dxa"/>
              <w:start w:w="84" w:type="dxa"/>
              <w:bottom w:w="72" w:type="dxa"/>
              <w:end w:w="84" w:type="dxa"/>
            </w:tcMar>
            <w:shd w:fill="F4F7F8"/>
          </w:tcPr>
          <w:p>
            <w:pPr>
              <w:spacing w:after="0"/>
              <w:jc w:val="center"/>
            </w:pPr>
            <w:r>
              <w:rPr>
                <w:b w:val="0"/>
                <w:sz w:val="13"/>
              </w:rPr>
              <w:t>3</w:t>
            </w:r>
          </w:p>
        </w:tc>
        <w:tc>
          <w:tcPr>
            <w:tcW w:type="dxa" w:w="1022"/>
            <w:vAlign w:val="center"/>
            <w:tcMar>
              <w:top w:w="72" w:type="dxa"/>
              <w:start w:w="84" w:type="dxa"/>
              <w:bottom w:w="72" w:type="dxa"/>
              <w:end w:w="84" w:type="dxa"/>
            </w:tcMar>
            <w:shd w:fill="F4F7F8"/>
          </w:tcPr>
          <w:p>
            <w:pPr>
              <w:spacing w:after="0"/>
              <w:jc w:val="center"/>
            </w:pPr>
            <w:r>
              <w:rPr>
                <w:b w:val="0"/>
                <w:sz w:val="13"/>
              </w:rPr>
              <w:t>4</w:t>
            </w:r>
          </w:p>
        </w:tc>
        <w:tc>
          <w:tcPr>
            <w:tcW w:type="dxa" w:w="1022"/>
            <w:vAlign w:val="center"/>
            <w:tcMar>
              <w:top w:w="72" w:type="dxa"/>
              <w:start w:w="84" w:type="dxa"/>
              <w:bottom w:w="72" w:type="dxa"/>
              <w:end w:w="84" w:type="dxa"/>
            </w:tcMar>
            <w:shd w:fill="F4F7F8"/>
          </w:tcPr>
          <w:p>
            <w:pPr>
              <w:spacing w:after="0"/>
              <w:jc w:val="center"/>
            </w:pPr>
            <w:r>
              <w:rPr>
                <w:b w:val="0"/>
                <w:sz w:val="13"/>
              </w:rPr>
              <w:t>4</w:t>
            </w:r>
          </w:p>
        </w:tc>
      </w:tr>
      <w:tr>
        <w:trPr>
          <w:cantSplit/>
        </w:trPr>
        <w:tc>
          <w:tcPr>
            <w:tcW w:type="dxa" w:w="2016"/>
            <w:vAlign w:val="center"/>
            <w:tcMar>
              <w:top w:w="72" w:type="dxa"/>
              <w:start w:w="84" w:type="dxa"/>
              <w:bottom w:w="72" w:type="dxa"/>
              <w:end w:w="84" w:type="dxa"/>
            </w:tcMar>
          </w:tcPr>
          <w:p>
            <w:pPr>
              <w:spacing w:after="0"/>
            </w:pPr>
            <w:r>
              <w:rPr>
                <w:b/>
                <w:sz w:val="13"/>
              </w:rPr>
              <w:t>Transfer</w:t>
            </w:r>
          </w:p>
        </w:tc>
        <w:tc>
          <w:tcPr>
            <w:tcW w:type="dxa" w:w="1022"/>
            <w:vAlign w:val="center"/>
            <w:tcMar>
              <w:top w:w="72" w:type="dxa"/>
              <w:start w:w="84" w:type="dxa"/>
              <w:bottom w:w="72" w:type="dxa"/>
              <w:end w:w="84" w:type="dxa"/>
            </w:tcMar>
          </w:tcPr>
          <w:p>
            <w:pPr>
              <w:spacing w:after="0"/>
              <w:jc w:val="center"/>
            </w:pPr>
            <w:r>
              <w:rPr>
                <w:b w:val="0"/>
                <w:sz w:val="13"/>
              </w:rPr>
              <w:t>NA</w:t>
            </w:r>
          </w:p>
        </w:tc>
        <w:tc>
          <w:tcPr>
            <w:tcW w:type="dxa" w:w="1022"/>
            <w:vAlign w:val="center"/>
            <w:tcMar>
              <w:top w:w="72" w:type="dxa"/>
              <w:start w:w="84" w:type="dxa"/>
              <w:bottom w:w="72" w:type="dxa"/>
              <w:end w:w="84" w:type="dxa"/>
            </w:tcMar>
          </w:tcPr>
          <w:p>
            <w:pPr>
              <w:spacing w:after="0"/>
              <w:jc w:val="center"/>
            </w:pPr>
            <w:r>
              <w:rPr>
                <w:b w:val="0"/>
                <w:sz w:val="13"/>
              </w:rPr>
              <w:t>NA</w:t>
            </w:r>
          </w:p>
        </w:tc>
        <w:tc>
          <w:tcPr>
            <w:tcW w:type="dxa" w:w="1022"/>
            <w:vAlign w:val="center"/>
            <w:tcMar>
              <w:top w:w="72" w:type="dxa"/>
              <w:start w:w="84" w:type="dxa"/>
              <w:bottom w:w="72" w:type="dxa"/>
              <w:end w:w="84" w:type="dxa"/>
            </w:tcMar>
          </w:tcPr>
          <w:p>
            <w:pPr>
              <w:spacing w:after="0"/>
              <w:jc w:val="center"/>
            </w:pPr>
            <w:r>
              <w:rPr>
                <w:b w:val="0"/>
                <w:sz w:val="13"/>
              </w:rPr>
              <w:t>NA</w:t>
            </w:r>
          </w:p>
        </w:tc>
        <w:tc>
          <w:tcPr>
            <w:tcW w:type="dxa" w:w="1022"/>
            <w:vAlign w:val="center"/>
            <w:tcMar>
              <w:top w:w="72" w:type="dxa"/>
              <w:start w:w="84" w:type="dxa"/>
              <w:bottom w:w="72" w:type="dxa"/>
              <w:end w:w="84" w:type="dxa"/>
            </w:tcMar>
          </w:tcPr>
          <w:p>
            <w:pPr>
              <w:spacing w:after="0"/>
              <w:jc w:val="center"/>
            </w:pPr>
            <w:r>
              <w:rPr>
                <w:b w:val="0"/>
                <w:sz w:val="13"/>
              </w:rPr>
              <w:t>NA</w:t>
            </w:r>
          </w:p>
        </w:tc>
        <w:tc>
          <w:tcPr>
            <w:tcW w:type="dxa" w:w="1022"/>
            <w:vAlign w:val="center"/>
            <w:tcMar>
              <w:top w:w="72" w:type="dxa"/>
              <w:start w:w="84" w:type="dxa"/>
              <w:bottom w:w="72" w:type="dxa"/>
              <w:end w:w="84" w:type="dxa"/>
            </w:tcMar>
          </w:tcPr>
          <w:p>
            <w:pPr>
              <w:spacing w:after="0"/>
              <w:jc w:val="center"/>
            </w:pPr>
            <w:r>
              <w:rPr>
                <w:b w:val="0"/>
                <w:sz w:val="13"/>
              </w:rPr>
              <w:t>NA</w:t>
            </w:r>
          </w:p>
        </w:tc>
        <w:tc>
          <w:tcPr>
            <w:tcW w:type="dxa" w:w="1022"/>
            <w:vAlign w:val="center"/>
            <w:tcMar>
              <w:top w:w="72" w:type="dxa"/>
              <w:start w:w="84" w:type="dxa"/>
              <w:bottom w:w="72" w:type="dxa"/>
              <w:end w:w="84" w:type="dxa"/>
            </w:tcMar>
          </w:tcPr>
          <w:p>
            <w:pPr>
              <w:spacing w:after="0"/>
              <w:jc w:val="center"/>
            </w:pPr>
            <w:r>
              <w:rPr>
                <w:b w:val="0"/>
                <w:sz w:val="13"/>
              </w:rPr>
              <w:t>NA</w:t>
            </w:r>
          </w:p>
        </w:tc>
        <w:tc>
          <w:tcPr>
            <w:tcW w:type="dxa" w:w="1022"/>
            <w:vAlign w:val="center"/>
            <w:tcMar>
              <w:top w:w="72" w:type="dxa"/>
              <w:start w:w="84" w:type="dxa"/>
              <w:bottom w:w="72" w:type="dxa"/>
              <w:end w:w="84" w:type="dxa"/>
            </w:tcMar>
          </w:tcPr>
          <w:p>
            <w:pPr>
              <w:spacing w:after="0"/>
              <w:jc w:val="center"/>
            </w:pPr>
            <w:r>
              <w:rPr>
                <w:b w:val="0"/>
                <w:sz w:val="13"/>
              </w:rPr>
              <w:t>4</w:t>
            </w:r>
          </w:p>
        </w:tc>
        <w:tc>
          <w:tcPr>
            <w:tcW w:type="dxa" w:w="1022"/>
            <w:vAlign w:val="center"/>
            <w:tcMar>
              <w:top w:w="72" w:type="dxa"/>
              <w:start w:w="84" w:type="dxa"/>
              <w:bottom w:w="72" w:type="dxa"/>
              <w:end w:w="84" w:type="dxa"/>
            </w:tcMar>
          </w:tcPr>
          <w:p>
            <w:pPr>
              <w:spacing w:after="0"/>
              <w:jc w:val="center"/>
            </w:pPr>
            <w:r>
              <w:rPr>
                <w:b w:val="0"/>
                <w:sz w:val="13"/>
              </w:rPr>
              <w:t>3</w:t>
            </w:r>
          </w:p>
        </w:tc>
      </w:tr>
    </w:tbl>
    <w:p>
      <w:pPr>
        <w:pStyle w:val="Heading2"/>
      </w:pPr>
      <w:r>
        <w:t>Calibration observations</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5"/>
              </w:rPr>
              <w:t>Disagreement</w:t>
            </w:r>
          </w:p>
        </w:tc>
        <w:tc>
          <w:tcPr>
            <w:tcW w:type="dxa" w:w="3816"/>
            <w:vAlign w:val="center"/>
            <w:shd w:fill="193F58"/>
            <w:tcMar>
              <w:top w:w="72" w:type="dxa"/>
              <w:start w:w="84" w:type="dxa"/>
              <w:bottom w:w="72" w:type="dxa"/>
              <w:end w:w="84" w:type="dxa"/>
            </w:tcMar>
          </w:tcPr>
          <w:p>
            <w:pPr>
              <w:spacing w:after="0"/>
            </w:pPr>
            <w:r>
              <w:rPr>
                <w:b/>
                <w:color w:val="FFFFFF"/>
                <w:sz w:val="15"/>
              </w:rPr>
              <w:t>Cause</w:t>
            </w:r>
          </w:p>
        </w:tc>
        <w:tc>
          <w:tcPr>
            <w:tcW w:type="dxa" w:w="4176"/>
            <w:vAlign w:val="center"/>
            <w:shd w:fill="193F58"/>
            <w:tcMar>
              <w:top w:w="72" w:type="dxa"/>
              <w:start w:w="84" w:type="dxa"/>
              <w:bottom w:w="72" w:type="dxa"/>
              <w:end w:w="84" w:type="dxa"/>
            </w:tcMar>
          </w:tcPr>
          <w:p>
            <w:pPr>
              <w:spacing w:after="0"/>
            </w:pPr>
            <w:r>
              <w:rPr>
                <w:b/>
                <w:color w:val="FFFFFF"/>
                <w:sz w:val="15"/>
              </w:rPr>
              <w:t>Clarification</w:t>
            </w:r>
          </w:p>
        </w:tc>
      </w:tr>
      <w:tr>
        <w:trPr>
          <w:cantSplit/>
        </w:trPr>
        <w:tc>
          <w:tcPr>
            <w:tcW w:type="dxa" w:w="2232"/>
            <w:vAlign w:val="center"/>
            <w:tcMar>
              <w:top w:w="72" w:type="dxa"/>
              <w:start w:w="84" w:type="dxa"/>
              <w:bottom w:w="72" w:type="dxa"/>
              <w:end w:w="84" w:type="dxa"/>
            </w:tcMar>
          </w:tcPr>
          <w:p>
            <w:pPr>
              <w:spacing w:after="0"/>
            </w:pPr>
            <w:r>
              <w:rPr>
                <w:b/>
                <w:sz w:val="15"/>
              </w:rPr>
              <w:t>C0 reasoning 1 versus 2</w:t>
            </w:r>
          </w:p>
        </w:tc>
        <w:tc>
          <w:tcPr>
            <w:tcW w:type="dxa" w:w="3816"/>
            <w:vAlign w:val="center"/>
            <w:tcMar>
              <w:top w:w="72" w:type="dxa"/>
              <w:start w:w="84" w:type="dxa"/>
              <w:bottom w:w="72" w:type="dxa"/>
              <w:end w:w="84" w:type="dxa"/>
            </w:tcMar>
          </w:tcPr>
          <w:p>
            <w:pPr>
              <w:spacing w:after="0"/>
            </w:pPr>
            <w:r>
              <w:rPr>
                <w:b w:val="0"/>
                <w:sz w:val="15"/>
              </w:rPr>
              <w:t>The scale did not say whether an incomplete method can still be recognizable.</w:t>
            </w:r>
          </w:p>
        </w:tc>
        <w:tc>
          <w:tcPr>
            <w:tcW w:type="dxa" w:w="4176"/>
            <w:vAlign w:val="center"/>
            <w:tcMar>
              <w:top w:w="72" w:type="dxa"/>
              <w:start w:w="84" w:type="dxa"/>
              <w:bottom w:w="72" w:type="dxa"/>
              <w:end w:w="84" w:type="dxa"/>
            </w:tcMar>
          </w:tcPr>
          <w:p>
            <w:pPr>
              <w:spacing w:after="0"/>
            </w:pPr>
            <w:r>
              <w:rPr>
                <w:b w:val="0"/>
                <w:sz w:val="15"/>
              </w:rPr>
              <w:t>Score 2 only when at least one premise is connected to a conclusion.</w:t>
            </w:r>
          </w:p>
        </w:tc>
      </w:tr>
      <w:tr>
        <w:trPr>
          <w:cantSplit/>
        </w:trPr>
        <w:tc>
          <w:tcPr>
            <w:tcW w:type="dxa" w:w="2232"/>
            <w:vAlign w:val="center"/>
            <w:tcMar>
              <w:top w:w="72" w:type="dxa"/>
              <w:start w:w="84" w:type="dxa"/>
              <w:bottom w:w="72" w:type="dxa"/>
              <w:end w:w="84" w:type="dxa"/>
            </w:tcMar>
            <w:shd w:fill="F4F7F8"/>
          </w:tcPr>
          <w:p>
            <w:pPr>
              <w:spacing w:after="0"/>
            </w:pPr>
            <w:r>
              <w:rPr>
                <w:b/>
                <w:sz w:val="15"/>
              </w:rPr>
              <w:t>C2 reasoning 4 versus 3</w:t>
            </w:r>
          </w:p>
        </w:tc>
        <w:tc>
          <w:tcPr>
            <w:tcW w:type="dxa" w:w="3816"/>
            <w:vAlign w:val="center"/>
            <w:tcMar>
              <w:top w:w="72" w:type="dxa"/>
              <w:start w:w="84" w:type="dxa"/>
              <w:bottom w:w="72" w:type="dxa"/>
              <w:end w:w="84" w:type="dxa"/>
            </w:tcMar>
            <w:shd w:fill="F4F7F8"/>
          </w:tcPr>
          <w:p>
            <w:pPr>
              <w:spacing w:after="0"/>
            </w:pPr>
            <w:r>
              <w:rPr>
                <w:b w:val="0"/>
                <w:sz w:val="15"/>
              </w:rPr>
              <w:t>One pass treated a stated revision fact as transfer.</w:t>
            </w:r>
          </w:p>
        </w:tc>
        <w:tc>
          <w:tcPr>
            <w:tcW w:type="dxa" w:w="4176"/>
            <w:vAlign w:val="center"/>
            <w:tcMar>
              <w:top w:w="72" w:type="dxa"/>
              <w:start w:w="84" w:type="dxa"/>
              <w:bottom w:w="72" w:type="dxa"/>
              <w:end w:w="84" w:type="dxa"/>
            </w:tcMar>
            <w:shd w:fill="F4F7F8"/>
          </w:tcPr>
          <w:p>
            <w:pPr>
              <w:spacing w:after="0"/>
            </w:pPr>
            <w:r>
              <w:rPr>
                <w:b w:val="0"/>
                <w:sz w:val="15"/>
              </w:rPr>
              <w:t>Reserve score 4 for integration or correction beyond the expected task, not mere completion.</w:t>
            </w:r>
          </w:p>
        </w:tc>
      </w:tr>
      <w:tr>
        <w:trPr>
          <w:cantSplit/>
        </w:trPr>
        <w:tc>
          <w:tcPr>
            <w:tcW w:type="dxa" w:w="2232"/>
            <w:vAlign w:val="center"/>
            <w:tcMar>
              <w:top w:w="72" w:type="dxa"/>
              <w:start w:w="84" w:type="dxa"/>
              <w:bottom w:w="72" w:type="dxa"/>
              <w:end w:w="84" w:type="dxa"/>
            </w:tcMar>
          </w:tcPr>
          <w:p>
            <w:pPr>
              <w:spacing w:after="0"/>
            </w:pPr>
            <w:r>
              <w:rPr>
                <w:b/>
                <w:sz w:val="15"/>
              </w:rPr>
              <w:t>C3 objection 2 versus 3</w:t>
            </w:r>
          </w:p>
        </w:tc>
        <w:tc>
          <w:tcPr>
            <w:tcW w:type="dxa" w:w="3816"/>
            <w:vAlign w:val="center"/>
            <w:tcMar>
              <w:top w:w="72" w:type="dxa"/>
              <w:start w:w="84" w:type="dxa"/>
              <w:bottom w:w="72" w:type="dxa"/>
              <w:end w:w="84" w:type="dxa"/>
            </w:tcMar>
          </w:tcPr>
          <w:p>
            <w:pPr>
              <w:spacing w:after="0"/>
            </w:pPr>
            <w:r>
              <w:rPr>
                <w:b w:val="0"/>
                <w:sz w:val="15"/>
              </w:rPr>
              <w:t>The response names a limitation but does not fully answer it.</w:t>
            </w:r>
          </w:p>
        </w:tc>
        <w:tc>
          <w:tcPr>
            <w:tcW w:type="dxa" w:w="4176"/>
            <w:vAlign w:val="center"/>
            <w:tcMar>
              <w:top w:w="72" w:type="dxa"/>
              <w:start w:w="84" w:type="dxa"/>
              <w:bottom w:w="72" w:type="dxa"/>
              <w:end w:w="84" w:type="dxa"/>
            </w:tcMar>
          </w:tcPr>
          <w:p>
            <w:pPr>
              <w:spacing w:after="0"/>
            </w:pPr>
            <w:r>
              <w:rPr>
                <w:b w:val="0"/>
                <w:sz w:val="15"/>
              </w:rPr>
              <w:t>Score the objection and the response together; an unanswered limitation cannot receive 3.</w:t>
            </w:r>
          </w:p>
        </w:tc>
      </w:tr>
      <w:tr>
        <w:trPr>
          <w:cantSplit/>
        </w:trPr>
        <w:tc>
          <w:tcPr>
            <w:tcW w:type="dxa" w:w="2232"/>
            <w:vAlign w:val="center"/>
            <w:tcMar>
              <w:top w:w="72" w:type="dxa"/>
              <w:start w:w="84" w:type="dxa"/>
              <w:bottom w:w="72" w:type="dxa"/>
              <w:end w:w="84" w:type="dxa"/>
            </w:tcMar>
            <w:shd w:fill="F4F7F8"/>
          </w:tcPr>
          <w:p>
            <w:pPr>
              <w:spacing w:after="0"/>
            </w:pPr>
            <w:r>
              <w:rPr>
                <w:b/>
                <w:sz w:val="15"/>
              </w:rPr>
              <w:t>C4 transfer 4 versus 3</w:t>
            </w:r>
          </w:p>
        </w:tc>
        <w:tc>
          <w:tcPr>
            <w:tcW w:type="dxa" w:w="3816"/>
            <w:vAlign w:val="center"/>
            <w:tcMar>
              <w:top w:w="72" w:type="dxa"/>
              <w:start w:w="84" w:type="dxa"/>
              <w:bottom w:w="72" w:type="dxa"/>
              <w:end w:w="84" w:type="dxa"/>
            </w:tcMar>
            <w:shd w:fill="F4F7F8"/>
          </w:tcPr>
          <w:p>
            <w:pPr>
              <w:spacing w:after="0"/>
            </w:pPr>
            <w:r>
              <w:rPr>
                <w:b w:val="0"/>
                <w:sz w:val="15"/>
              </w:rPr>
              <w:t>The unfamiliar element was not registered in advance.</w:t>
            </w:r>
          </w:p>
        </w:tc>
        <w:tc>
          <w:tcPr>
            <w:tcW w:type="dxa" w:w="4176"/>
            <w:vAlign w:val="center"/>
            <w:tcMar>
              <w:top w:w="72" w:type="dxa"/>
              <w:start w:w="84" w:type="dxa"/>
              <w:bottom w:w="72" w:type="dxa"/>
              <w:end w:w="84" w:type="dxa"/>
            </w:tcMar>
            <w:shd w:fill="F4F7F8"/>
          </w:tcPr>
          <w:p>
            <w:pPr>
              <w:spacing w:after="0"/>
            </w:pPr>
            <w:r>
              <w:rPr>
                <w:b w:val="0"/>
                <w:sz w:val="15"/>
              </w:rPr>
              <w:t>Register the exact unfamiliar feature before administration.</w:t>
            </w:r>
          </w:p>
        </w:tc>
      </w:tr>
    </w:tbl>
    <w:p>
      <w:pPr>
        <w:pStyle w:val="Heading2"/>
      </w:pPr>
      <w:r>
        <w:t>Dry run judgment</w:t>
      </w:r>
    </w:p>
    <w:p>
      <w:r>
        <w:t>Packet A can support an educator tabletop review after the scoring clarifications above. The form correctly prevented a score for missing oral evidence and kept transfer separate from ordinary task completion. A real pilot still requires equivalent course tasks, actual elapsed time at C3, and two trained human raters.</w:t>
      </w:r>
    </w:p>
    <w:p>
      <w:r>
        <w:br w:type="page"/>
      </w:r>
    </w:p>
    <w:p>
      <w:pPr>
        <w:pStyle w:val="Heading1"/>
      </w:pPr>
      <w:r>
        <w:t>Packet A calibrated scoring key</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4"/>
              </w:rPr>
              <w:t>Dimension</w:t>
            </w:r>
          </w:p>
        </w:tc>
        <w:tc>
          <w:tcPr>
            <w:tcW w:type="dxa" w:w="3960"/>
            <w:vAlign w:val="center"/>
            <w:shd w:fill="193F58"/>
            <w:tcMar>
              <w:top w:w="72" w:type="dxa"/>
              <w:start w:w="84" w:type="dxa"/>
              <w:bottom w:w="72" w:type="dxa"/>
              <w:end w:w="84" w:type="dxa"/>
            </w:tcMar>
          </w:tcPr>
          <w:p>
            <w:pPr>
              <w:spacing w:after="0"/>
            </w:pPr>
            <w:r>
              <w:rPr>
                <w:b/>
                <w:color w:val="FFFFFF"/>
                <w:sz w:val="14"/>
              </w:rPr>
              <w:t>Evidence required for score 3</w:t>
            </w:r>
          </w:p>
        </w:tc>
        <w:tc>
          <w:tcPr>
            <w:tcW w:type="dxa" w:w="4032"/>
            <w:vAlign w:val="center"/>
            <w:shd w:fill="193F58"/>
            <w:tcMar>
              <w:top w:w="72" w:type="dxa"/>
              <w:start w:w="84" w:type="dxa"/>
              <w:bottom w:w="72" w:type="dxa"/>
              <w:end w:w="84" w:type="dxa"/>
            </w:tcMar>
          </w:tcPr>
          <w:p>
            <w:pPr>
              <w:spacing w:after="0"/>
            </w:pPr>
            <w:r>
              <w:rPr>
                <w:b/>
                <w:color w:val="FFFFFF"/>
                <w:sz w:val="14"/>
              </w:rPr>
              <w:t>Additional evidence required for score 4</w:t>
            </w:r>
          </w:p>
        </w:tc>
      </w:tr>
      <w:tr>
        <w:trPr>
          <w:cantSplit/>
        </w:trPr>
        <w:tc>
          <w:tcPr>
            <w:tcW w:type="dxa" w:w="2232"/>
            <w:vAlign w:val="center"/>
            <w:tcMar>
              <w:top w:w="72" w:type="dxa"/>
              <w:start w:w="84" w:type="dxa"/>
              <w:bottom w:w="72" w:type="dxa"/>
              <w:end w:w="84" w:type="dxa"/>
            </w:tcMar>
          </w:tcPr>
          <w:p>
            <w:pPr>
              <w:spacing w:after="0"/>
            </w:pPr>
            <w:r>
              <w:rPr>
                <w:b/>
                <w:sz w:val="14"/>
              </w:rPr>
              <w:t>Accuracy</w:t>
            </w:r>
          </w:p>
        </w:tc>
        <w:tc>
          <w:tcPr>
            <w:tcW w:type="dxa" w:w="3960"/>
            <w:vAlign w:val="center"/>
            <w:tcMar>
              <w:top w:w="72" w:type="dxa"/>
              <w:start w:w="84" w:type="dxa"/>
              <w:bottom w:w="72" w:type="dxa"/>
              <w:end w:w="84" w:type="dxa"/>
            </w:tcMar>
          </w:tcPr>
          <w:p>
            <w:pPr>
              <w:spacing w:after="0"/>
            </w:pPr>
            <w:r>
              <w:rPr>
                <w:b w:val="0"/>
                <w:sz w:val="14"/>
              </w:rPr>
              <w:t>Central claim and material facts or steps are represented without distortion.</w:t>
            </w:r>
          </w:p>
        </w:tc>
        <w:tc>
          <w:tcPr>
            <w:tcW w:type="dxa" w:w="4032"/>
            <w:vAlign w:val="center"/>
            <w:tcMar>
              <w:top w:w="72" w:type="dxa"/>
              <w:start w:w="84" w:type="dxa"/>
              <w:bottom w:w="72" w:type="dxa"/>
              <w:end w:w="84" w:type="dxa"/>
            </w:tcMar>
          </w:tcPr>
          <w:p>
            <w:pPr>
              <w:spacing w:after="0"/>
            </w:pPr>
            <w:r>
              <w:rPr>
                <w:b w:val="0"/>
                <w:sz w:val="14"/>
              </w:rPr>
              <w:t>Relevant qualification or limit is integrated without prompting.</w:t>
            </w:r>
          </w:p>
        </w:tc>
      </w:tr>
      <w:tr>
        <w:trPr>
          <w:cantSplit/>
        </w:trPr>
        <w:tc>
          <w:tcPr>
            <w:tcW w:type="dxa" w:w="2232"/>
            <w:vAlign w:val="center"/>
            <w:tcMar>
              <w:top w:w="72" w:type="dxa"/>
              <w:start w:w="84" w:type="dxa"/>
              <w:bottom w:w="72" w:type="dxa"/>
              <w:end w:w="84" w:type="dxa"/>
            </w:tcMar>
            <w:shd w:fill="F4F7F8"/>
          </w:tcPr>
          <w:p>
            <w:pPr>
              <w:spacing w:after="0"/>
            </w:pPr>
            <w:r>
              <w:rPr>
                <w:b/>
                <w:sz w:val="14"/>
              </w:rPr>
              <w:t>Reasoning</w:t>
            </w:r>
          </w:p>
        </w:tc>
        <w:tc>
          <w:tcPr>
            <w:tcW w:type="dxa" w:w="3960"/>
            <w:vAlign w:val="center"/>
            <w:tcMar>
              <w:top w:w="72" w:type="dxa"/>
              <w:start w:w="84" w:type="dxa"/>
              <w:bottom w:w="72" w:type="dxa"/>
              <w:end w:w="84" w:type="dxa"/>
            </w:tcMar>
            <w:shd w:fill="F4F7F8"/>
          </w:tcPr>
          <w:p>
            <w:pPr>
              <w:spacing w:after="0"/>
            </w:pPr>
            <w:r>
              <w:rPr>
                <w:b w:val="0"/>
                <w:sz w:val="14"/>
              </w:rPr>
              <w:t>Premises or observations are connected coherently to the conclusion.</w:t>
            </w:r>
          </w:p>
        </w:tc>
        <w:tc>
          <w:tcPr>
            <w:tcW w:type="dxa" w:w="4032"/>
            <w:vAlign w:val="center"/>
            <w:tcMar>
              <w:top w:w="72" w:type="dxa"/>
              <w:start w:w="84" w:type="dxa"/>
              <w:bottom w:w="72" w:type="dxa"/>
              <w:end w:w="84" w:type="dxa"/>
            </w:tcMar>
            <w:shd w:fill="F4F7F8"/>
          </w:tcPr>
          <w:p>
            <w:pPr>
              <w:spacing w:after="0"/>
            </w:pPr>
            <w:r>
              <w:rPr>
                <w:b w:val="0"/>
                <w:sz w:val="14"/>
              </w:rPr>
              <w:t>The student identifies and corrects a vulnerable step or integrates competing reasons.</w:t>
            </w:r>
          </w:p>
        </w:tc>
      </w:tr>
      <w:tr>
        <w:trPr>
          <w:cantSplit/>
        </w:trPr>
        <w:tc>
          <w:tcPr>
            <w:tcW w:type="dxa" w:w="2232"/>
            <w:vAlign w:val="center"/>
            <w:tcMar>
              <w:top w:w="72" w:type="dxa"/>
              <w:start w:w="84" w:type="dxa"/>
              <w:bottom w:w="72" w:type="dxa"/>
              <w:end w:w="84" w:type="dxa"/>
            </w:tcMar>
          </w:tcPr>
          <w:p>
            <w:pPr>
              <w:spacing w:after="0"/>
            </w:pPr>
            <w:r>
              <w:rPr>
                <w:b/>
                <w:sz w:val="14"/>
              </w:rPr>
              <w:t>Evidence selection</w:t>
            </w:r>
          </w:p>
        </w:tc>
        <w:tc>
          <w:tcPr>
            <w:tcW w:type="dxa" w:w="3960"/>
            <w:vAlign w:val="center"/>
            <w:tcMar>
              <w:top w:w="72" w:type="dxa"/>
              <w:start w:w="84" w:type="dxa"/>
              <w:bottom w:w="72" w:type="dxa"/>
              <w:end w:w="84" w:type="dxa"/>
            </w:tcMar>
          </w:tcPr>
          <w:p>
            <w:pPr>
              <w:spacing w:after="0"/>
            </w:pPr>
            <w:r>
              <w:rPr>
                <w:b w:val="0"/>
                <w:sz w:val="14"/>
              </w:rPr>
              <w:t>The decisive passage, premise, demonstration, or observation is selected.</w:t>
            </w:r>
          </w:p>
        </w:tc>
        <w:tc>
          <w:tcPr>
            <w:tcW w:type="dxa" w:w="4032"/>
            <w:vAlign w:val="center"/>
            <w:tcMar>
              <w:top w:w="72" w:type="dxa"/>
              <w:start w:w="84" w:type="dxa"/>
              <w:bottom w:w="72" w:type="dxa"/>
              <w:end w:w="84" w:type="dxa"/>
            </w:tcMar>
          </w:tcPr>
          <w:p>
            <w:pPr>
              <w:spacing w:after="0"/>
            </w:pPr>
            <w:r>
              <w:rPr>
                <w:b w:val="0"/>
                <w:sz w:val="14"/>
              </w:rPr>
              <w:t>The student explains why plausible alternatives are less decisive.</w:t>
            </w:r>
          </w:p>
        </w:tc>
      </w:tr>
      <w:tr>
        <w:trPr>
          <w:cantSplit/>
        </w:trPr>
        <w:tc>
          <w:tcPr>
            <w:tcW w:type="dxa" w:w="2232"/>
            <w:vAlign w:val="center"/>
            <w:tcMar>
              <w:top w:w="72" w:type="dxa"/>
              <w:start w:w="84" w:type="dxa"/>
              <w:bottom w:w="72" w:type="dxa"/>
              <w:end w:w="84" w:type="dxa"/>
            </w:tcMar>
            <w:shd w:fill="F4F7F8"/>
          </w:tcPr>
          <w:p>
            <w:pPr>
              <w:spacing w:after="0"/>
            </w:pPr>
            <w:r>
              <w:rPr>
                <w:b/>
                <w:sz w:val="14"/>
              </w:rPr>
              <w:t>Objection and response</w:t>
            </w:r>
          </w:p>
        </w:tc>
        <w:tc>
          <w:tcPr>
            <w:tcW w:type="dxa" w:w="3960"/>
            <w:vAlign w:val="center"/>
            <w:tcMar>
              <w:top w:w="72" w:type="dxa"/>
              <w:start w:w="84" w:type="dxa"/>
              <w:bottom w:w="72" w:type="dxa"/>
              <w:end w:w="84" w:type="dxa"/>
            </w:tcMar>
            <w:shd w:fill="F4F7F8"/>
          </w:tcPr>
          <w:p>
            <w:pPr>
              <w:spacing w:after="0"/>
            </w:pPr>
            <w:r>
              <w:rPr>
                <w:b w:val="0"/>
                <w:sz w:val="14"/>
              </w:rPr>
              <w:t>A serious objection is stated fairly and answered with a relevant reason.</w:t>
            </w:r>
          </w:p>
        </w:tc>
        <w:tc>
          <w:tcPr>
            <w:tcW w:type="dxa" w:w="4032"/>
            <w:vAlign w:val="center"/>
            <w:tcMar>
              <w:top w:w="72" w:type="dxa"/>
              <w:start w:w="84" w:type="dxa"/>
              <w:bottom w:w="72" w:type="dxa"/>
              <w:end w:w="84" w:type="dxa"/>
            </w:tcMar>
            <w:shd w:fill="F4F7F8"/>
          </w:tcPr>
          <w:p>
            <w:pPr>
              <w:spacing w:after="0"/>
            </w:pPr>
            <w:r>
              <w:rPr>
                <w:b w:val="0"/>
                <w:sz w:val="14"/>
              </w:rPr>
              <w:t>The answer recognizes what remains unresolved and states the consequence.</w:t>
            </w:r>
          </w:p>
        </w:tc>
      </w:tr>
      <w:tr>
        <w:trPr>
          <w:cantSplit/>
        </w:trPr>
        <w:tc>
          <w:tcPr>
            <w:tcW w:type="dxa" w:w="2232"/>
            <w:vAlign w:val="center"/>
            <w:tcMar>
              <w:top w:w="72" w:type="dxa"/>
              <w:start w:w="84" w:type="dxa"/>
              <w:bottom w:w="72" w:type="dxa"/>
              <w:end w:w="84" w:type="dxa"/>
            </w:tcMar>
          </w:tcPr>
          <w:p>
            <w:pPr>
              <w:spacing w:after="0"/>
            </w:pPr>
            <w:r>
              <w:rPr>
                <w:b/>
                <w:sz w:val="14"/>
              </w:rPr>
              <w:t>Oral ownership</w:t>
            </w:r>
          </w:p>
        </w:tc>
        <w:tc>
          <w:tcPr>
            <w:tcW w:type="dxa" w:w="3960"/>
            <w:vAlign w:val="center"/>
            <w:tcMar>
              <w:top w:w="72" w:type="dxa"/>
              <w:start w:w="84" w:type="dxa"/>
              <w:bottom w:w="72" w:type="dxa"/>
              <w:end w:w="84" w:type="dxa"/>
            </w:tcMar>
          </w:tcPr>
          <w:p>
            <w:pPr>
              <w:spacing w:after="0"/>
            </w:pPr>
            <w:r>
              <w:rPr>
                <w:b w:val="0"/>
                <w:sz w:val="14"/>
              </w:rPr>
              <w:t>The student explains and defends the reasoning in a separate oral record.</w:t>
            </w:r>
          </w:p>
        </w:tc>
        <w:tc>
          <w:tcPr>
            <w:tcW w:type="dxa" w:w="4032"/>
            <w:vAlign w:val="center"/>
            <w:tcMar>
              <w:top w:w="72" w:type="dxa"/>
              <w:start w:w="84" w:type="dxa"/>
              <w:bottom w:w="72" w:type="dxa"/>
              <w:end w:w="84" w:type="dxa"/>
            </w:tcMar>
          </w:tcPr>
          <w:p>
            <w:pPr>
              <w:spacing w:after="0"/>
            </w:pPr>
            <w:r>
              <w:rPr>
                <w:b w:val="0"/>
                <w:sz w:val="14"/>
              </w:rPr>
              <w:t>The student corrects or extends the analysis under an unannounced question.</w:t>
            </w:r>
          </w:p>
        </w:tc>
      </w:tr>
      <w:tr>
        <w:trPr>
          <w:cantSplit/>
        </w:trPr>
        <w:tc>
          <w:tcPr>
            <w:tcW w:type="dxa" w:w="2232"/>
            <w:vAlign w:val="center"/>
            <w:tcMar>
              <w:top w:w="72" w:type="dxa"/>
              <w:start w:w="84" w:type="dxa"/>
              <w:bottom w:w="72" w:type="dxa"/>
              <w:end w:w="84" w:type="dxa"/>
            </w:tcMar>
            <w:shd w:fill="F4F7F8"/>
          </w:tcPr>
          <w:p>
            <w:pPr>
              <w:spacing w:after="0"/>
            </w:pPr>
            <w:r>
              <w:rPr>
                <w:b/>
                <w:sz w:val="14"/>
              </w:rPr>
              <w:t>Correction and humility</w:t>
            </w:r>
          </w:p>
        </w:tc>
        <w:tc>
          <w:tcPr>
            <w:tcW w:type="dxa" w:w="3960"/>
            <w:vAlign w:val="center"/>
            <w:tcMar>
              <w:top w:w="72" w:type="dxa"/>
              <w:start w:w="84" w:type="dxa"/>
              <w:bottom w:w="72" w:type="dxa"/>
              <w:end w:w="84" w:type="dxa"/>
            </w:tcMar>
            <w:shd w:fill="F4F7F8"/>
          </w:tcPr>
          <w:p>
            <w:pPr>
              <w:spacing w:after="0"/>
            </w:pPr>
            <w:r>
              <w:rPr>
                <w:b w:val="0"/>
                <w:sz w:val="14"/>
              </w:rPr>
              <w:t>The student identifies uncertainty or error and revises for a stated reason.</w:t>
            </w:r>
          </w:p>
        </w:tc>
        <w:tc>
          <w:tcPr>
            <w:tcW w:type="dxa" w:w="4032"/>
            <w:vAlign w:val="center"/>
            <w:tcMar>
              <w:top w:w="72" w:type="dxa"/>
              <w:start w:w="84" w:type="dxa"/>
              <w:bottom w:w="72" w:type="dxa"/>
              <w:end w:w="84" w:type="dxa"/>
            </w:tcMar>
            <w:shd w:fill="F4F7F8"/>
          </w:tcPr>
          <w:p>
            <w:pPr>
              <w:spacing w:after="0"/>
            </w:pPr>
            <w:r>
              <w:rPr>
                <w:b w:val="0"/>
                <w:sz w:val="14"/>
              </w:rPr>
              <w:t>The revision changes a material step while preserving what remains sound.</w:t>
            </w:r>
          </w:p>
        </w:tc>
      </w:tr>
      <w:tr>
        <w:trPr>
          <w:cantSplit/>
        </w:trPr>
        <w:tc>
          <w:tcPr>
            <w:tcW w:type="dxa" w:w="2232"/>
            <w:vAlign w:val="center"/>
            <w:tcMar>
              <w:top w:w="72" w:type="dxa"/>
              <w:start w:w="84" w:type="dxa"/>
              <w:bottom w:w="72" w:type="dxa"/>
              <w:end w:w="84" w:type="dxa"/>
            </w:tcMar>
          </w:tcPr>
          <w:p>
            <w:pPr>
              <w:spacing w:after="0"/>
            </w:pPr>
            <w:r>
              <w:rPr>
                <w:b/>
                <w:sz w:val="14"/>
              </w:rPr>
              <w:t>Transfer</w:t>
            </w:r>
          </w:p>
        </w:tc>
        <w:tc>
          <w:tcPr>
            <w:tcW w:type="dxa" w:w="3960"/>
            <w:vAlign w:val="center"/>
            <w:tcMar>
              <w:top w:w="72" w:type="dxa"/>
              <w:start w:w="84" w:type="dxa"/>
              <w:bottom w:w="72" w:type="dxa"/>
              <w:end w:w="84" w:type="dxa"/>
            </w:tcMar>
          </w:tcPr>
          <w:p>
            <w:pPr>
              <w:spacing w:after="0"/>
            </w:pPr>
            <w:r>
              <w:rPr>
                <w:b w:val="0"/>
                <w:sz w:val="14"/>
              </w:rPr>
              <w:t>At C4, the method is applied to the registered unfamiliar element.</w:t>
            </w:r>
          </w:p>
        </w:tc>
        <w:tc>
          <w:tcPr>
            <w:tcW w:type="dxa" w:w="4032"/>
            <w:vAlign w:val="center"/>
            <w:tcMar>
              <w:top w:w="72" w:type="dxa"/>
              <w:start w:w="84" w:type="dxa"/>
              <w:bottom w:w="72" w:type="dxa"/>
              <w:end w:w="84" w:type="dxa"/>
            </w:tcMar>
          </w:tcPr>
          <w:p>
            <w:pPr>
              <w:spacing w:after="0"/>
            </w:pPr>
            <w:r>
              <w:rPr>
                <w:b w:val="0"/>
                <w:sz w:val="14"/>
              </w:rPr>
              <w:t>The method is adapted and the need for adaptation is explained.</w:t>
            </w:r>
          </w:p>
        </w:tc>
      </w:tr>
    </w:tbl>
    <w:p>
      <w:pPr>
        <w:pStyle w:val="Heading2"/>
      </w:pPr>
      <w:r>
        <w:t>Rater evidence rule</w:t>
      </w:r>
    </w:p>
    <w:p>
      <w:pPr>
        <w:ind w:left="346" w:hanging="346"/>
      </w:pPr>
      <w:r>
        <w:t>1.  Cite the sentence, reasoning step, or oral answer that supports each score.</w:t>
      </w:r>
    </w:p>
    <w:p>
      <w:pPr>
        <w:ind w:left="346" w:hanging="346"/>
      </w:pPr>
      <w:r>
        <w:t>2.  Do not infer oral ownership from polished writing or infer writing ability from oral fluency.</w:t>
      </w:r>
    </w:p>
    <w:p>
      <w:pPr>
        <w:ind w:left="346" w:hanging="346"/>
      </w:pPr>
      <w:r>
        <w:t>3.  Mark missing evidence with a dash and exclude it from the denominator.</w:t>
      </w:r>
    </w:p>
    <w:p>
      <w:pPr>
        <w:ind w:left="346" w:hanging="346"/>
      </w:pPr>
      <w:r>
        <w:t>4.  Do not average an unresolved disagreement. Apply the anchor to the cited evidence or obtain adjudication.</w:t>
      </w:r>
    </w:p>
    <w:p>
      <w:pPr>
        <w:ind w:left="346" w:hanging="346"/>
      </w:pPr>
      <w:r>
        <w:t>5.  Keep any contextual observation about attention, friendship, residence, family, faith, or wellness outside the performance score unless the registered design measures it directly.</w:t>
      </w:r>
    </w:p>
    <w:p>
      <w:r>
        <w:br w:type="page"/>
      </w:r>
    </w:p>
    <w:p>
      <w:pPr>
        <w:pStyle w:val="Heading1"/>
      </w:pPr>
      <w:r>
        <w:t>Packet B fictional authority and facts</w:t>
      </w:r>
    </w:p>
    <w:p>
      <w:pPr>
        <w:pStyle w:val="Heading2"/>
      </w:pPr>
      <w:r>
        <w:t>Fictional authority packet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800"/>
            <w:vAlign w:val="center"/>
            <w:shd w:fill="193F58"/>
            <w:tcMar>
              <w:top w:w="72" w:type="dxa"/>
              <w:start w:w="84" w:type="dxa"/>
              <w:bottom w:w="72" w:type="dxa"/>
              <w:end w:w="84" w:type="dxa"/>
            </w:tcMar>
          </w:tcPr>
          <w:p>
            <w:pPr>
              <w:spacing w:after="0"/>
            </w:pPr>
            <w:r>
              <w:rPr>
                <w:b/>
                <w:color w:val="FFFFFF"/>
                <w:sz w:val="15"/>
              </w:rPr>
              <w:t>Provision</w:t>
            </w:r>
          </w:p>
        </w:tc>
        <w:tc>
          <w:tcPr>
            <w:tcW w:type="dxa" w:w="8424"/>
            <w:vAlign w:val="center"/>
            <w:shd w:fill="193F58"/>
            <w:tcMar>
              <w:top w:w="72" w:type="dxa"/>
              <w:start w:w="84" w:type="dxa"/>
              <w:bottom w:w="72" w:type="dxa"/>
              <w:end w:w="84" w:type="dxa"/>
            </w:tcMar>
          </w:tcPr>
          <w:p>
            <w:pPr>
              <w:spacing w:after="0"/>
            </w:pPr>
            <w:r>
              <w:rPr>
                <w:b/>
                <w:color w:val="FFFFFF"/>
                <w:sz w:val="15"/>
              </w:rPr>
              <w:t>Synthetic rule</w:t>
            </w:r>
          </w:p>
        </w:tc>
      </w:tr>
      <w:tr>
        <w:trPr>
          <w:cantSplit/>
        </w:trPr>
        <w:tc>
          <w:tcPr>
            <w:tcW w:type="dxa" w:w="1800"/>
            <w:vAlign w:val="center"/>
            <w:tcMar>
              <w:top w:w="72" w:type="dxa"/>
              <w:start w:w="84" w:type="dxa"/>
              <w:bottom w:w="72" w:type="dxa"/>
              <w:end w:w="84" w:type="dxa"/>
            </w:tcMar>
          </w:tcPr>
          <w:p>
            <w:pPr>
              <w:spacing w:after="0"/>
            </w:pPr>
            <w:r>
              <w:rPr>
                <w:b/>
                <w:sz w:val="15"/>
              </w:rPr>
              <w:t>Section 7a</w:t>
            </w:r>
          </w:p>
        </w:tc>
        <w:tc>
          <w:tcPr>
            <w:tcW w:type="dxa" w:w="8424"/>
            <w:vAlign w:val="center"/>
            <w:tcMar>
              <w:top w:w="72" w:type="dxa"/>
              <w:start w:w="84" w:type="dxa"/>
              <w:bottom w:w="72" w:type="dxa"/>
              <w:end w:w="84" w:type="dxa"/>
            </w:tcMar>
          </w:tcPr>
          <w:p>
            <w:pPr>
              <w:spacing w:after="0"/>
            </w:pPr>
            <w:r>
              <w:rPr>
                <w:b w:val="0"/>
                <w:sz w:val="15"/>
              </w:rPr>
              <w:t>A school office may disclose a maintained student record only with the student's specific written consent.</w:t>
            </w:r>
          </w:p>
        </w:tc>
      </w:tr>
      <w:tr>
        <w:trPr>
          <w:cantSplit/>
        </w:trPr>
        <w:tc>
          <w:tcPr>
            <w:tcW w:type="dxa" w:w="1800"/>
            <w:vAlign w:val="center"/>
            <w:tcMar>
              <w:top w:w="72" w:type="dxa"/>
              <w:start w:w="84" w:type="dxa"/>
              <w:bottom w:w="72" w:type="dxa"/>
              <w:end w:w="84" w:type="dxa"/>
            </w:tcMar>
            <w:shd w:fill="F4F7F8"/>
          </w:tcPr>
          <w:p>
            <w:pPr>
              <w:spacing w:after="0"/>
            </w:pPr>
            <w:r>
              <w:rPr>
                <w:b/>
                <w:sz w:val="15"/>
              </w:rPr>
              <w:t>Section 7b</w:t>
            </w:r>
          </w:p>
        </w:tc>
        <w:tc>
          <w:tcPr>
            <w:tcW w:type="dxa" w:w="8424"/>
            <w:vAlign w:val="center"/>
            <w:tcMar>
              <w:top w:w="72" w:type="dxa"/>
              <w:start w:w="84" w:type="dxa"/>
              <w:bottom w:w="72" w:type="dxa"/>
              <w:end w:w="84" w:type="dxa"/>
            </w:tcMar>
            <w:shd w:fill="F4F7F8"/>
          </w:tcPr>
          <w:p>
            <w:pPr>
              <w:spacing w:after="0"/>
            </w:pPr>
            <w:r>
              <w:rPr>
                <w:b w:val="0"/>
                <w:sz w:val="15"/>
              </w:rPr>
              <w:t>Consent must identify the record category, recipient, and purpose. A general publicity release is not consent to disclose disciplinary information.</w:t>
            </w:r>
          </w:p>
        </w:tc>
      </w:tr>
      <w:tr>
        <w:trPr>
          <w:cantSplit/>
        </w:trPr>
        <w:tc>
          <w:tcPr>
            <w:tcW w:type="dxa" w:w="1800"/>
            <w:vAlign w:val="center"/>
            <w:tcMar>
              <w:top w:w="72" w:type="dxa"/>
              <w:start w:w="84" w:type="dxa"/>
              <w:bottom w:w="72" w:type="dxa"/>
              <w:end w:w="84" w:type="dxa"/>
            </w:tcMar>
          </w:tcPr>
          <w:p>
            <w:pPr>
              <w:spacing w:after="0"/>
            </w:pPr>
            <w:r>
              <w:rPr>
                <w:b/>
                <w:sz w:val="15"/>
              </w:rPr>
              <w:t>Section 7c</w:t>
            </w:r>
          </w:p>
        </w:tc>
        <w:tc>
          <w:tcPr>
            <w:tcW w:type="dxa" w:w="8424"/>
            <w:vAlign w:val="center"/>
            <w:tcMar>
              <w:top w:w="72" w:type="dxa"/>
              <w:start w:w="84" w:type="dxa"/>
              <w:bottom w:w="72" w:type="dxa"/>
              <w:end w:w="84" w:type="dxa"/>
            </w:tcMar>
          </w:tcPr>
          <w:p>
            <w:pPr>
              <w:spacing w:after="0"/>
            </w:pPr>
            <w:r>
              <w:rPr>
                <w:b w:val="0"/>
                <w:sz w:val="15"/>
              </w:rPr>
              <w:t>Without consent, disclosure is permitted to address an imminent and specific threat, but only to a person able to reduce the threat and only to the extent reasonably necessary.</w:t>
            </w:r>
          </w:p>
        </w:tc>
      </w:tr>
      <w:tr>
        <w:trPr>
          <w:cantSplit/>
        </w:trPr>
        <w:tc>
          <w:tcPr>
            <w:tcW w:type="dxa" w:w="1800"/>
            <w:vAlign w:val="center"/>
            <w:tcMar>
              <w:top w:w="72" w:type="dxa"/>
              <w:start w:w="84" w:type="dxa"/>
              <w:bottom w:w="72" w:type="dxa"/>
              <w:end w:w="84" w:type="dxa"/>
            </w:tcMar>
            <w:shd w:fill="F4F7F8"/>
          </w:tcPr>
          <w:p>
            <w:pPr>
              <w:spacing w:after="0"/>
            </w:pPr>
            <w:r>
              <w:rPr>
                <w:b/>
                <w:sz w:val="15"/>
              </w:rPr>
              <w:t>Section 7d</w:t>
            </w:r>
          </w:p>
        </w:tc>
        <w:tc>
          <w:tcPr>
            <w:tcW w:type="dxa" w:w="8424"/>
            <w:vAlign w:val="center"/>
            <w:tcMar>
              <w:top w:w="72" w:type="dxa"/>
              <w:start w:w="84" w:type="dxa"/>
              <w:bottom w:w="72" w:type="dxa"/>
              <w:end w:w="84" w:type="dxa"/>
            </w:tcMar>
            <w:shd w:fill="F4F7F8"/>
          </w:tcPr>
          <w:p>
            <w:pPr>
              <w:spacing w:after="0"/>
            </w:pPr>
            <w:r>
              <w:rPr>
                <w:b w:val="0"/>
                <w:sz w:val="15"/>
              </w:rPr>
              <w:t>A record includes information maintained by the school and linked to an identifiable student. The rule does not cover an employee's unrecorded personal observation.</w:t>
            </w:r>
          </w:p>
        </w:tc>
      </w:tr>
      <w:tr>
        <w:trPr>
          <w:cantSplit/>
        </w:trPr>
        <w:tc>
          <w:tcPr>
            <w:tcW w:type="dxa" w:w="1800"/>
            <w:vAlign w:val="center"/>
            <w:tcMar>
              <w:top w:w="72" w:type="dxa"/>
              <w:start w:w="84" w:type="dxa"/>
              <w:bottom w:w="72" w:type="dxa"/>
              <w:end w:w="84" w:type="dxa"/>
            </w:tcMar>
          </w:tcPr>
          <w:p>
            <w:pPr>
              <w:spacing w:after="0"/>
            </w:pPr>
            <w:r>
              <w:rPr>
                <w:b/>
                <w:sz w:val="15"/>
              </w:rPr>
              <w:t>Section 7e</w:t>
            </w:r>
          </w:p>
        </w:tc>
        <w:tc>
          <w:tcPr>
            <w:tcW w:type="dxa" w:w="8424"/>
            <w:vAlign w:val="center"/>
            <w:tcMar>
              <w:top w:w="72" w:type="dxa"/>
              <w:start w:w="84" w:type="dxa"/>
              <w:bottom w:w="72" w:type="dxa"/>
              <w:end w:w="84" w:type="dxa"/>
            </w:tcMar>
          </w:tcPr>
          <w:p>
            <w:pPr>
              <w:spacing w:after="0"/>
            </w:pPr>
            <w:r>
              <w:rPr>
                <w:b w:val="0"/>
                <w:sz w:val="15"/>
              </w:rPr>
              <w:t>A decision maker must explain uncertainty and consider whether a narrower disclosure would serve the permitted purpose.</w:t>
            </w:r>
          </w:p>
        </w:tc>
      </w:tr>
    </w:tbl>
    <w:p>
      <w:pPr>
        <w:pStyle w:val="Heading2"/>
      </w:pPr>
      <w:r>
        <w:t>Fictional fact pattern</w:t>
      </w:r>
    </w:p>
    <w:p>
      <w:r>
        <w:t>Dean Vale maintains a file showing that student Mira Chen is on disciplinary probation. After Mira misses two meetings and sends a message saying that she feels overwhelmed, the dean emails Mira's roommate and the campus newspaper. The email identifies the probation, quotes the message, and asks both recipients to watch for danger. Mira previously signed a general release allowing the school to use her name and photograph in publicity. The file contains no threat, plan, or reference to harm.</w:t>
      </w:r>
    </w:p>
    <w:p>
      <w:pPr>
        <w:pStyle w:val="Heading2"/>
      </w:pPr>
      <w:r>
        <w:t>Registered legal task</w:t>
      </w:r>
    </w:p>
    <w:p>
      <w:r>
        <w:t>Using only Sections 7a through 7e, identify the material issues, state the governing rules, apply them to each recipient and each disclosed item, address the strongest argument for the dean, and give a qualified conclusion. Identify any fact that could materially change the result.</w:t>
      </w:r>
    </w:p>
    <w:p>
      <w:r>
        <w:t>The rule and facts are entirely fictional and are not legal advice. They test issue recognition, source verification, application, counterargument, judgment, and ownership without introducing real student or client information.</w:t>
      </w:r>
    </w:p>
    <w:p>
      <w:r>
        <w:br w:type="page"/>
      </w:r>
    </w:p>
    <w:p>
      <w:pPr>
        <w:pStyle w:val="Heading1"/>
      </w:pPr>
      <w:r>
        <w:t>Packet B condition scripts</w:t>
      </w:r>
    </w:p>
    <w:p>
      <w:pPr>
        <w:pStyle w:val="Heading2"/>
      </w:pPr>
      <w:r>
        <w:t>H0 Human only</w:t>
      </w:r>
    </w:p>
    <w:p>
      <w:r>
        <w:t>The student reads the closed packet, produces an issue list, selects the applicable provisions, drafts the analysis, verifies every reference, and revises without generative assistance. Ordinary course feedback must be registered and matched across conditions.</w:t>
      </w:r>
    </w:p>
    <w:p>
      <w:pPr>
        <w:pStyle w:val="Heading2"/>
      </w:pPr>
      <w:r>
        <w:t>B1 Human first plus bounded critique</w:t>
      </w:r>
    </w:p>
    <w:p>
      <w:pPr>
        <w:ind w:left="346" w:hanging="346"/>
      </w:pPr>
      <w:r>
        <w:t>1.  The student completes and submits a time stamped human first analysis before tool access.</w:t>
      </w:r>
    </w:p>
    <w:p>
      <w:pPr>
        <w:ind w:left="346" w:hanging="346"/>
      </w:pPr>
      <w:r>
        <w:t>2.  The reviewer freezes that version and records its word count and file identifier.</w:t>
      </w:r>
    </w:p>
    <w:p>
      <w:pPr>
        <w:ind w:left="346" w:hanging="346"/>
      </w:pPr>
      <w:r>
        <w:t>3.  The approved tool receives only the fictional source packet and the human first analysis.</w:t>
      </w:r>
    </w:p>
    <w:p>
      <w:pPr>
        <w:ind w:left="346" w:hanging="346"/>
      </w:pPr>
      <w:r>
        <w:t>4.  The tool may return no more than three observations in the registered format.</w:t>
      </w:r>
    </w:p>
    <w:p>
      <w:pPr>
        <w:ind w:left="346" w:hanging="346"/>
      </w:pPr>
      <w:r>
        <w:t>5.  The student verifies each observation and records accept, reject, or modify with a reason.</w:t>
      </w:r>
    </w:p>
    <w:p>
      <w:pPr>
        <w:ind w:left="346" w:hanging="346"/>
      </w:pPr>
      <w:r>
        <w:t>6.  All later C2 through C4 performance remains unaided.</w:t>
      </w:r>
    </w:p>
    <w:p>
      <w:pPr>
        <w:pStyle w:val="Heading2"/>
      </w:pPr>
      <w:r>
        <w:t>B2 Bounded critique plus human conference</w:t>
      </w:r>
    </w:p>
    <w:p>
      <w:r>
        <w:t>B2 follows the same human first and bounded critique sequence. It then adds a registered conference of equal length using the same question types for each participant. The conference may ask the student to explain an issue, locate a provision, defend a choice, or reconsider an uncertainty. It may not supply a replacement answer.</w:t>
      </w:r>
    </w:p>
    <w:p>
      <w:pPr>
        <w:pStyle w:val="Heading2"/>
      </w:pPr>
      <w:r>
        <w:t>Revised registered tool prompt</w:t>
      </w:r>
    </w:p>
    <w:p>
      <w:r>
        <w:t>Review the completed analysis only for weaknesses. Return no more than three numbered items. For each item use this format: Observation; source locator from Sections 7a through 7e; question the student must answer. Do not draft or rewrite prose, add an issue, choose a conclusion, supply a citation, introduce outside law, or state how the student should resolve the question. If the source packet is missing or the request exceeds these limits, output Boundary stop and explain which requirement failed.</w:t>
      </w:r>
    </w:p>
    <w:p>
      <w:r>
        <w:br w:type="page"/>
      </w:r>
    </w:p>
    <w:p>
      <w:pPr>
        <w:pStyle w:val="Heading1"/>
      </w:pPr>
      <w:r>
        <w:t>Packet B scripted critique test</w:t>
      </w:r>
    </w:p>
    <w:p>
      <w:pPr>
        <w:pStyle w:val="Heading2"/>
      </w:pPr>
      <w:r>
        <w:t>Constructed human first analysis</w:t>
      </w:r>
    </w:p>
    <w:p>
      <w:r>
        <w:t>Mira's probation is a maintained record linked to her, so Section 7a requires consent. The publicity release is written consent and probably permits the dean's email. The exception also applies because feeling overwhelmed can signal danger. The dean could therefore tell both recipients, although the newspaper disclosure may be excessive.</w:t>
      </w:r>
    </w:p>
    <w:p>
      <w:pPr>
        <w:pStyle w:val="Heading2"/>
      </w:pPr>
      <w:r>
        <w:t>Permitted critique output</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648"/>
            <w:vAlign w:val="center"/>
            <w:shd w:fill="193F58"/>
            <w:tcMar>
              <w:top w:w="72" w:type="dxa"/>
              <w:start w:w="84" w:type="dxa"/>
              <w:bottom w:w="72" w:type="dxa"/>
              <w:end w:w="84" w:type="dxa"/>
            </w:tcMar>
          </w:tcPr>
          <w:p>
            <w:pPr>
              <w:spacing w:after="0"/>
            </w:pPr>
            <w:r>
              <w:rPr>
                <w:b/>
                <w:color w:val="FFFFFF"/>
                <w:sz w:val="14"/>
              </w:rPr>
              <w:t>Item</w:t>
            </w:r>
          </w:p>
        </w:tc>
        <w:tc>
          <w:tcPr>
            <w:tcW w:type="dxa" w:w="3384"/>
            <w:vAlign w:val="center"/>
            <w:shd w:fill="193F58"/>
            <w:tcMar>
              <w:top w:w="72" w:type="dxa"/>
              <w:start w:w="84" w:type="dxa"/>
              <w:bottom w:w="72" w:type="dxa"/>
              <w:end w:w="84" w:type="dxa"/>
            </w:tcMar>
          </w:tcPr>
          <w:p>
            <w:pPr>
              <w:spacing w:after="0"/>
            </w:pPr>
            <w:r>
              <w:rPr>
                <w:b/>
                <w:color w:val="FFFFFF"/>
                <w:sz w:val="14"/>
              </w:rPr>
              <w:t>Observation</w:t>
            </w:r>
          </w:p>
        </w:tc>
        <w:tc>
          <w:tcPr>
            <w:tcW w:type="dxa" w:w="1656"/>
            <w:vAlign w:val="center"/>
            <w:shd w:fill="193F58"/>
            <w:tcMar>
              <w:top w:w="72" w:type="dxa"/>
              <w:start w:w="84" w:type="dxa"/>
              <w:bottom w:w="72" w:type="dxa"/>
              <w:end w:w="84" w:type="dxa"/>
            </w:tcMar>
          </w:tcPr>
          <w:p>
            <w:pPr>
              <w:spacing w:after="0"/>
            </w:pPr>
            <w:r>
              <w:rPr>
                <w:b/>
                <w:color w:val="FFFFFF"/>
                <w:sz w:val="14"/>
              </w:rPr>
              <w:t>Source locator</w:t>
            </w:r>
          </w:p>
        </w:tc>
        <w:tc>
          <w:tcPr>
            <w:tcW w:type="dxa" w:w="4536"/>
            <w:vAlign w:val="center"/>
            <w:shd w:fill="193F58"/>
            <w:tcMar>
              <w:top w:w="72" w:type="dxa"/>
              <w:start w:w="84" w:type="dxa"/>
              <w:bottom w:w="72" w:type="dxa"/>
              <w:end w:w="84" w:type="dxa"/>
            </w:tcMar>
          </w:tcPr>
          <w:p>
            <w:pPr>
              <w:spacing w:after="0"/>
            </w:pPr>
            <w:r>
              <w:rPr>
                <w:b/>
                <w:color w:val="FFFFFF"/>
                <w:sz w:val="14"/>
              </w:rPr>
              <w:t>Question for the student</w:t>
            </w:r>
          </w:p>
        </w:tc>
      </w:tr>
      <w:tr>
        <w:trPr>
          <w:cantSplit/>
        </w:trPr>
        <w:tc>
          <w:tcPr>
            <w:tcW w:type="dxa" w:w="648"/>
            <w:vAlign w:val="center"/>
            <w:tcMar>
              <w:top w:w="72" w:type="dxa"/>
              <w:start w:w="84" w:type="dxa"/>
              <w:bottom w:w="72" w:type="dxa"/>
              <w:end w:w="84" w:type="dxa"/>
            </w:tcMar>
          </w:tcPr>
          <w:p>
            <w:pPr>
              <w:spacing w:after="0"/>
              <w:jc w:val="center"/>
            </w:pPr>
            <w:r>
              <w:rPr>
                <w:b/>
                <w:sz w:val="14"/>
              </w:rPr>
              <w:t>1</w:t>
            </w:r>
          </w:p>
        </w:tc>
        <w:tc>
          <w:tcPr>
            <w:tcW w:type="dxa" w:w="3384"/>
            <w:vAlign w:val="center"/>
            <w:tcMar>
              <w:top w:w="72" w:type="dxa"/>
              <w:start w:w="84" w:type="dxa"/>
              <w:bottom w:w="72" w:type="dxa"/>
              <w:end w:w="84" w:type="dxa"/>
            </w:tcMar>
          </w:tcPr>
          <w:p>
            <w:pPr>
              <w:spacing w:after="0"/>
            </w:pPr>
            <w:r>
              <w:rPr>
                <w:b w:val="0"/>
                <w:sz w:val="14"/>
              </w:rPr>
              <w:t>The analysis treats a general publicity release as consent for disciplinary information.</w:t>
            </w:r>
          </w:p>
        </w:tc>
        <w:tc>
          <w:tcPr>
            <w:tcW w:type="dxa" w:w="1656"/>
            <w:vAlign w:val="center"/>
            <w:tcMar>
              <w:top w:w="72" w:type="dxa"/>
              <w:start w:w="84" w:type="dxa"/>
              <w:bottom w:w="72" w:type="dxa"/>
              <w:end w:w="84" w:type="dxa"/>
            </w:tcMar>
          </w:tcPr>
          <w:p>
            <w:pPr>
              <w:spacing w:after="0"/>
              <w:jc w:val="center"/>
            </w:pPr>
            <w:r>
              <w:rPr>
                <w:b w:val="0"/>
                <w:sz w:val="14"/>
              </w:rPr>
              <w:t>Section 7b</w:t>
            </w:r>
          </w:p>
        </w:tc>
        <w:tc>
          <w:tcPr>
            <w:tcW w:type="dxa" w:w="4536"/>
            <w:vAlign w:val="center"/>
            <w:tcMar>
              <w:top w:w="72" w:type="dxa"/>
              <w:start w:w="84" w:type="dxa"/>
              <w:bottom w:w="72" w:type="dxa"/>
              <w:end w:w="84" w:type="dxa"/>
            </w:tcMar>
          </w:tcPr>
          <w:p>
            <w:pPr>
              <w:spacing w:after="0"/>
            </w:pPr>
            <w:r>
              <w:rPr>
                <w:b w:val="0"/>
                <w:sz w:val="14"/>
              </w:rPr>
              <w:t>Does the release identify the record category, recipient, and purpose required by the rule?</w:t>
            </w:r>
          </w:p>
        </w:tc>
      </w:tr>
      <w:tr>
        <w:trPr>
          <w:cantSplit/>
        </w:trPr>
        <w:tc>
          <w:tcPr>
            <w:tcW w:type="dxa" w:w="648"/>
            <w:vAlign w:val="center"/>
            <w:tcMar>
              <w:top w:w="72" w:type="dxa"/>
              <w:start w:w="84" w:type="dxa"/>
              <w:bottom w:w="72" w:type="dxa"/>
              <w:end w:w="84" w:type="dxa"/>
            </w:tcMar>
            <w:shd w:fill="F4F7F8"/>
          </w:tcPr>
          <w:p>
            <w:pPr>
              <w:spacing w:after="0"/>
              <w:jc w:val="center"/>
            </w:pPr>
            <w:r>
              <w:rPr>
                <w:b/>
                <w:sz w:val="14"/>
              </w:rPr>
              <w:t>2</w:t>
            </w:r>
          </w:p>
        </w:tc>
        <w:tc>
          <w:tcPr>
            <w:tcW w:type="dxa" w:w="3384"/>
            <w:vAlign w:val="center"/>
            <w:tcMar>
              <w:top w:w="72" w:type="dxa"/>
              <w:start w:w="84" w:type="dxa"/>
              <w:bottom w:w="72" w:type="dxa"/>
              <w:end w:w="84" w:type="dxa"/>
            </w:tcMar>
            <w:shd w:fill="F4F7F8"/>
          </w:tcPr>
          <w:p>
            <w:pPr>
              <w:spacing w:after="0"/>
            </w:pPr>
            <w:r>
              <w:rPr>
                <w:b w:val="0"/>
                <w:sz w:val="14"/>
              </w:rPr>
              <w:t>The analysis assumes that feeling overwhelmed establishes the emergency exception.</w:t>
            </w:r>
          </w:p>
        </w:tc>
        <w:tc>
          <w:tcPr>
            <w:tcW w:type="dxa" w:w="1656"/>
            <w:vAlign w:val="center"/>
            <w:tcMar>
              <w:top w:w="72" w:type="dxa"/>
              <w:start w:w="84" w:type="dxa"/>
              <w:bottom w:w="72" w:type="dxa"/>
              <w:end w:w="84" w:type="dxa"/>
            </w:tcMar>
            <w:shd w:fill="F4F7F8"/>
          </w:tcPr>
          <w:p>
            <w:pPr>
              <w:spacing w:after="0"/>
              <w:jc w:val="center"/>
            </w:pPr>
            <w:r>
              <w:rPr>
                <w:b w:val="0"/>
                <w:sz w:val="14"/>
              </w:rPr>
              <w:t>Section 7c</w:t>
            </w:r>
          </w:p>
        </w:tc>
        <w:tc>
          <w:tcPr>
            <w:tcW w:type="dxa" w:w="4536"/>
            <w:vAlign w:val="center"/>
            <w:tcMar>
              <w:top w:w="72" w:type="dxa"/>
              <w:start w:w="84" w:type="dxa"/>
              <w:bottom w:w="72" w:type="dxa"/>
              <w:end w:w="84" w:type="dxa"/>
            </w:tcMar>
            <w:shd w:fill="F4F7F8"/>
          </w:tcPr>
          <w:p>
            <w:pPr>
              <w:spacing w:after="0"/>
            </w:pPr>
            <w:r>
              <w:rPr>
                <w:b w:val="0"/>
                <w:sz w:val="14"/>
              </w:rPr>
              <w:t>Which facts show an imminent and specific threat, and which required facts are absent?</w:t>
            </w:r>
          </w:p>
        </w:tc>
      </w:tr>
      <w:tr>
        <w:trPr>
          <w:cantSplit/>
        </w:trPr>
        <w:tc>
          <w:tcPr>
            <w:tcW w:type="dxa" w:w="648"/>
            <w:vAlign w:val="center"/>
            <w:tcMar>
              <w:top w:w="72" w:type="dxa"/>
              <w:start w:w="84" w:type="dxa"/>
              <w:bottom w:w="72" w:type="dxa"/>
              <w:end w:w="84" w:type="dxa"/>
            </w:tcMar>
          </w:tcPr>
          <w:p>
            <w:pPr>
              <w:spacing w:after="0"/>
              <w:jc w:val="center"/>
            </w:pPr>
            <w:r>
              <w:rPr>
                <w:b/>
                <w:sz w:val="14"/>
              </w:rPr>
              <w:t>3</w:t>
            </w:r>
          </w:p>
        </w:tc>
        <w:tc>
          <w:tcPr>
            <w:tcW w:type="dxa" w:w="3384"/>
            <w:vAlign w:val="center"/>
            <w:tcMar>
              <w:top w:w="72" w:type="dxa"/>
              <w:start w:w="84" w:type="dxa"/>
              <w:bottom w:w="72" w:type="dxa"/>
              <w:end w:w="84" w:type="dxa"/>
            </w:tcMar>
          </w:tcPr>
          <w:p>
            <w:pPr>
              <w:spacing w:after="0"/>
            </w:pPr>
            <w:r>
              <w:rPr>
                <w:b w:val="0"/>
                <w:sz w:val="14"/>
              </w:rPr>
              <w:t>The analysis does not evaluate each recipient and disclosed item separately.</w:t>
            </w:r>
          </w:p>
        </w:tc>
        <w:tc>
          <w:tcPr>
            <w:tcW w:type="dxa" w:w="1656"/>
            <w:vAlign w:val="center"/>
            <w:tcMar>
              <w:top w:w="72" w:type="dxa"/>
              <w:start w:w="84" w:type="dxa"/>
              <w:bottom w:w="72" w:type="dxa"/>
              <w:end w:w="84" w:type="dxa"/>
            </w:tcMar>
          </w:tcPr>
          <w:p>
            <w:pPr>
              <w:spacing w:after="0"/>
              <w:jc w:val="center"/>
            </w:pPr>
            <w:r>
              <w:rPr>
                <w:b w:val="0"/>
                <w:sz w:val="14"/>
              </w:rPr>
              <w:t>Sections 7c and 7e</w:t>
            </w:r>
          </w:p>
        </w:tc>
        <w:tc>
          <w:tcPr>
            <w:tcW w:type="dxa" w:w="4536"/>
            <w:vAlign w:val="center"/>
            <w:tcMar>
              <w:top w:w="72" w:type="dxa"/>
              <w:start w:w="84" w:type="dxa"/>
              <w:bottom w:w="72" w:type="dxa"/>
              <w:end w:w="84" w:type="dxa"/>
            </w:tcMar>
          </w:tcPr>
          <w:p>
            <w:pPr>
              <w:spacing w:after="0"/>
            </w:pPr>
            <w:r>
              <w:rPr>
                <w:b w:val="0"/>
                <w:sz w:val="14"/>
              </w:rPr>
              <w:t>Could either recipient reduce the alleged threat, and was each disclosure reasonably necessary?</w:t>
            </w:r>
          </w:p>
        </w:tc>
      </w:tr>
    </w:tbl>
    <w:p>
      <w:pPr>
        <w:pStyle w:val="Heading2"/>
      </w:pPr>
      <w:r>
        <w:t>Student decision record</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792"/>
            <w:vAlign w:val="center"/>
            <w:shd w:fill="193F58"/>
            <w:tcMar>
              <w:top w:w="72" w:type="dxa"/>
              <w:start w:w="84" w:type="dxa"/>
              <w:bottom w:w="72" w:type="dxa"/>
              <w:end w:w="84" w:type="dxa"/>
            </w:tcMar>
          </w:tcPr>
          <w:p>
            <w:pPr>
              <w:spacing w:after="0"/>
            </w:pPr>
            <w:r>
              <w:rPr>
                <w:b/>
                <w:color w:val="FFFFFF"/>
                <w:sz w:val="15"/>
              </w:rPr>
              <w:t>Item</w:t>
            </w:r>
          </w:p>
        </w:tc>
        <w:tc>
          <w:tcPr>
            <w:tcW w:type="dxa" w:w="1584"/>
            <w:vAlign w:val="center"/>
            <w:shd w:fill="193F58"/>
            <w:tcMar>
              <w:top w:w="72" w:type="dxa"/>
              <w:start w:w="84" w:type="dxa"/>
              <w:bottom w:w="72" w:type="dxa"/>
              <w:end w:w="84" w:type="dxa"/>
            </w:tcMar>
          </w:tcPr>
          <w:p>
            <w:pPr>
              <w:spacing w:after="0"/>
            </w:pPr>
            <w:r>
              <w:rPr>
                <w:b/>
                <w:color w:val="FFFFFF"/>
                <w:sz w:val="15"/>
              </w:rPr>
              <w:t>Decision</w:t>
            </w:r>
          </w:p>
        </w:tc>
        <w:tc>
          <w:tcPr>
            <w:tcW w:type="dxa" w:w="7848"/>
            <w:vAlign w:val="center"/>
            <w:shd w:fill="193F58"/>
            <w:tcMar>
              <w:top w:w="72" w:type="dxa"/>
              <w:start w:w="84" w:type="dxa"/>
              <w:bottom w:w="72" w:type="dxa"/>
              <w:end w:w="84" w:type="dxa"/>
            </w:tcMar>
          </w:tcPr>
          <w:p>
            <w:pPr>
              <w:spacing w:after="0"/>
            </w:pPr>
            <w:r>
              <w:rPr>
                <w:b/>
                <w:color w:val="FFFFFF"/>
                <w:sz w:val="15"/>
              </w:rPr>
              <w:t>Verification and reason</w:t>
            </w:r>
          </w:p>
        </w:tc>
      </w:tr>
      <w:tr>
        <w:trPr>
          <w:cantSplit/>
        </w:trPr>
        <w:tc>
          <w:tcPr>
            <w:tcW w:type="dxa" w:w="792"/>
            <w:vAlign w:val="center"/>
            <w:tcMar>
              <w:top w:w="72" w:type="dxa"/>
              <w:start w:w="84" w:type="dxa"/>
              <w:bottom w:w="72" w:type="dxa"/>
              <w:end w:w="84" w:type="dxa"/>
            </w:tcMar>
          </w:tcPr>
          <w:p>
            <w:pPr>
              <w:spacing w:after="0"/>
              <w:jc w:val="center"/>
            </w:pPr>
            <w:r>
              <w:rPr>
                <w:b/>
                <w:sz w:val="15"/>
              </w:rPr>
              <w:t>1</w:t>
            </w:r>
          </w:p>
        </w:tc>
        <w:tc>
          <w:tcPr>
            <w:tcW w:type="dxa" w:w="1584"/>
            <w:vAlign w:val="center"/>
            <w:tcMar>
              <w:top w:w="72" w:type="dxa"/>
              <w:start w:w="84" w:type="dxa"/>
              <w:bottom w:w="72" w:type="dxa"/>
              <w:end w:w="84" w:type="dxa"/>
            </w:tcMar>
          </w:tcPr>
          <w:p>
            <w:pPr>
              <w:spacing w:after="0"/>
              <w:jc w:val="center"/>
            </w:pPr>
            <w:r>
              <w:rPr>
                <w:b w:val="0"/>
                <w:sz w:val="15"/>
              </w:rPr>
              <w:t>Accept</w:t>
            </w:r>
          </w:p>
        </w:tc>
        <w:tc>
          <w:tcPr>
            <w:tcW w:type="dxa" w:w="7848"/>
            <w:vAlign w:val="center"/>
            <w:tcMar>
              <w:top w:w="72" w:type="dxa"/>
              <w:start w:w="84" w:type="dxa"/>
              <w:bottom w:w="72" w:type="dxa"/>
              <w:end w:w="84" w:type="dxa"/>
            </w:tcMar>
          </w:tcPr>
          <w:p>
            <w:pPr>
              <w:spacing w:after="0"/>
            </w:pPr>
            <w:r>
              <w:rPr>
                <w:b w:val="0"/>
                <w:sz w:val="15"/>
              </w:rPr>
              <w:t>Section 7b expressly rejects general publicity consent for disciplinary information.</w:t>
            </w:r>
          </w:p>
        </w:tc>
      </w:tr>
      <w:tr>
        <w:trPr>
          <w:cantSplit/>
        </w:trPr>
        <w:tc>
          <w:tcPr>
            <w:tcW w:type="dxa" w:w="792"/>
            <w:vAlign w:val="center"/>
            <w:tcMar>
              <w:top w:w="72" w:type="dxa"/>
              <w:start w:w="84" w:type="dxa"/>
              <w:bottom w:w="72" w:type="dxa"/>
              <w:end w:w="84" w:type="dxa"/>
            </w:tcMar>
            <w:shd w:fill="F4F7F8"/>
          </w:tcPr>
          <w:p>
            <w:pPr>
              <w:spacing w:after="0"/>
              <w:jc w:val="center"/>
            </w:pPr>
            <w:r>
              <w:rPr>
                <w:b/>
                <w:sz w:val="15"/>
              </w:rPr>
              <w:t>2</w:t>
            </w:r>
          </w:p>
        </w:tc>
        <w:tc>
          <w:tcPr>
            <w:tcW w:type="dxa" w:w="1584"/>
            <w:vAlign w:val="center"/>
            <w:tcMar>
              <w:top w:w="72" w:type="dxa"/>
              <w:start w:w="84" w:type="dxa"/>
              <w:bottom w:w="72" w:type="dxa"/>
              <w:end w:w="84" w:type="dxa"/>
            </w:tcMar>
            <w:shd w:fill="F4F7F8"/>
          </w:tcPr>
          <w:p>
            <w:pPr>
              <w:spacing w:after="0"/>
              <w:jc w:val="center"/>
            </w:pPr>
            <w:r>
              <w:rPr>
                <w:b w:val="0"/>
                <w:sz w:val="15"/>
              </w:rPr>
              <w:t>Modify</w:t>
            </w:r>
          </w:p>
        </w:tc>
        <w:tc>
          <w:tcPr>
            <w:tcW w:type="dxa" w:w="7848"/>
            <w:vAlign w:val="center"/>
            <w:tcMar>
              <w:top w:w="72" w:type="dxa"/>
              <w:start w:w="84" w:type="dxa"/>
              <w:bottom w:w="72" w:type="dxa"/>
              <w:end w:w="84" w:type="dxa"/>
            </w:tcMar>
            <w:shd w:fill="F4F7F8"/>
          </w:tcPr>
          <w:p>
            <w:pPr>
              <w:spacing w:after="0"/>
            </w:pPr>
            <w:r>
              <w:rPr>
                <w:b w:val="0"/>
                <w:sz w:val="15"/>
              </w:rPr>
              <w:t>The message may justify inquiry, but the facts do not establish an imminent and specific threat.</w:t>
            </w:r>
          </w:p>
        </w:tc>
      </w:tr>
      <w:tr>
        <w:trPr>
          <w:cantSplit/>
        </w:trPr>
        <w:tc>
          <w:tcPr>
            <w:tcW w:type="dxa" w:w="792"/>
            <w:vAlign w:val="center"/>
            <w:tcMar>
              <w:top w:w="72" w:type="dxa"/>
              <w:start w:w="84" w:type="dxa"/>
              <w:bottom w:w="72" w:type="dxa"/>
              <w:end w:w="84" w:type="dxa"/>
            </w:tcMar>
          </w:tcPr>
          <w:p>
            <w:pPr>
              <w:spacing w:after="0"/>
              <w:jc w:val="center"/>
            </w:pPr>
            <w:r>
              <w:rPr>
                <w:b/>
                <w:sz w:val="15"/>
              </w:rPr>
              <w:t>3</w:t>
            </w:r>
          </w:p>
        </w:tc>
        <w:tc>
          <w:tcPr>
            <w:tcW w:type="dxa" w:w="1584"/>
            <w:vAlign w:val="center"/>
            <w:tcMar>
              <w:top w:w="72" w:type="dxa"/>
              <w:start w:w="84" w:type="dxa"/>
              <w:bottom w:w="72" w:type="dxa"/>
              <w:end w:w="84" w:type="dxa"/>
            </w:tcMar>
          </w:tcPr>
          <w:p>
            <w:pPr>
              <w:spacing w:after="0"/>
              <w:jc w:val="center"/>
            </w:pPr>
            <w:r>
              <w:rPr>
                <w:b w:val="0"/>
                <w:sz w:val="15"/>
              </w:rPr>
              <w:t>Accept</w:t>
            </w:r>
          </w:p>
        </w:tc>
        <w:tc>
          <w:tcPr>
            <w:tcW w:type="dxa" w:w="7848"/>
            <w:vAlign w:val="center"/>
            <w:tcMar>
              <w:top w:w="72" w:type="dxa"/>
              <w:start w:w="84" w:type="dxa"/>
              <w:bottom w:w="72" w:type="dxa"/>
              <w:end w:w="84" w:type="dxa"/>
            </w:tcMar>
          </w:tcPr>
          <w:p>
            <w:pPr>
              <w:spacing w:after="0"/>
            </w:pPr>
            <w:r>
              <w:rPr>
                <w:b w:val="0"/>
                <w:sz w:val="15"/>
              </w:rPr>
              <w:t>The roommate may be able to help, while the facts give no reason that the newspaper could reduce a threat.</w:t>
            </w:r>
          </w:p>
        </w:tc>
      </w:tr>
    </w:tbl>
    <w:p>
      <w:pPr>
        <w:pStyle w:val="Heading2"/>
      </w:pPr>
      <w:r>
        <w:t>Prohibited output examples</w:t>
      </w:r>
    </w:p>
    <w:p>
      <w:pPr>
        <w:pStyle w:val="ListBullet"/>
      </w:pPr>
      <w:r>
        <w:t>A rewritten analysis or suggested concluding paragraph.</w:t>
      </w:r>
    </w:p>
    <w:p>
      <w:pPr>
        <w:pStyle w:val="ListBullet"/>
      </w:pPr>
      <w:r>
        <w:t>A new legal doctrine, outside citation, or authority not contained in Sections 7a through 7e.</w:t>
      </w:r>
    </w:p>
    <w:p>
      <w:pPr>
        <w:pStyle w:val="ListBullet"/>
      </w:pPr>
      <w:r>
        <w:t>A fourth observation, even if relevant, unless the registered protocol is revised before the dry run.</w:t>
      </w:r>
    </w:p>
    <w:p>
      <w:pPr>
        <w:pStyle w:val="ListBullet"/>
      </w:pPr>
      <w:r>
        <w:t>Advice about a real student, real school record, actual emergency, or professional duty.</w:t>
      </w:r>
    </w:p>
    <w:p>
      <w:r>
        <w:br w:type="page"/>
      </w:r>
    </w:p>
    <w:p>
      <w:pPr>
        <w:pStyle w:val="Heading1"/>
      </w:pPr>
      <w:r>
        <w:t>Packet B constructed response chain</w:t>
      </w:r>
    </w:p>
    <w:p>
      <w:pPr>
        <w:pStyle w:val="Heading2"/>
      </w:pPr>
      <w:r>
        <w:t>H0 C1 human only product</w:t>
      </w:r>
    </w:p>
    <w:p>
      <w:r>
        <w:t>The response recognizes consent and the emergency exception but treats the publicity release too broadly. It questions the newspaper disclosure without separately analyzing the roommate, the quoted message, and the probation record.</w:t>
      </w:r>
    </w:p>
    <w:p>
      <w:pPr>
        <w:pStyle w:val="Heading2"/>
      </w:pPr>
      <w:r>
        <w:t>B1 C1 bounded critique product</w:t>
      </w:r>
    </w:p>
    <w:p>
      <w:r>
        <w:t>The revised response rejects the general release under Section 7b, distinguishes the two recipients, and narrows the emergency analysis. It still treats the dean's personal observation and the quoted maintained message together without applying Section 7d.</w:t>
      </w:r>
    </w:p>
    <w:p>
      <w:pPr>
        <w:pStyle w:val="Heading2"/>
      </w:pPr>
      <w:r>
        <w:t>B2 C1 critique plus conference product</w:t>
      </w:r>
    </w:p>
    <w:p>
      <w:r>
        <w:t>After the same critique, a scripted conference question asks which disclosed information came from a maintained file. The revision separates the probation record and quoted stored message from any unrecorded observation. It concludes that the facts do not establish the exception, while explaining how an imminent specific threat could alter the analysis.</w:t>
      </w:r>
    </w:p>
    <w:p>
      <w:pPr>
        <w:pStyle w:val="Heading2"/>
      </w:pPr>
      <w:r>
        <w:t>Protected later checks</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800"/>
            <w:vAlign w:val="center"/>
            <w:shd w:fill="193F58"/>
            <w:tcMar>
              <w:top w:w="72" w:type="dxa"/>
              <w:start w:w="84" w:type="dxa"/>
              <w:bottom w:w="72" w:type="dxa"/>
              <w:end w:w="84" w:type="dxa"/>
            </w:tcMar>
          </w:tcPr>
          <w:p>
            <w:pPr>
              <w:spacing w:after="0"/>
            </w:pPr>
            <w:r>
              <w:rPr>
                <w:b/>
                <w:color w:val="FFFFFF"/>
                <w:sz w:val="15"/>
              </w:rPr>
              <w:t>Condition</w:t>
            </w:r>
          </w:p>
        </w:tc>
        <w:tc>
          <w:tcPr>
            <w:tcW w:type="dxa" w:w="5400"/>
            <w:vAlign w:val="center"/>
            <w:shd w:fill="193F58"/>
            <w:tcMar>
              <w:top w:w="72" w:type="dxa"/>
              <w:start w:w="84" w:type="dxa"/>
              <w:bottom w:w="72" w:type="dxa"/>
              <w:end w:w="84" w:type="dxa"/>
            </w:tcMar>
          </w:tcPr>
          <w:p>
            <w:pPr>
              <w:spacing w:after="0"/>
            </w:pPr>
            <w:r>
              <w:rPr>
                <w:b/>
                <w:color w:val="FFFFFF"/>
                <w:sz w:val="15"/>
              </w:rPr>
              <w:t>Synthetic parallel task</w:t>
            </w:r>
          </w:p>
        </w:tc>
        <w:tc>
          <w:tcPr>
            <w:tcW w:type="dxa" w:w="3024"/>
            <w:vAlign w:val="center"/>
            <w:shd w:fill="193F58"/>
            <w:tcMar>
              <w:top w:w="72" w:type="dxa"/>
              <w:start w:w="84" w:type="dxa"/>
              <w:bottom w:w="72" w:type="dxa"/>
              <w:end w:w="84" w:type="dxa"/>
            </w:tcMar>
          </w:tcPr>
          <w:p>
            <w:pPr>
              <w:spacing w:after="0"/>
            </w:pPr>
            <w:r>
              <w:rPr>
                <w:b/>
                <w:color w:val="FFFFFF"/>
                <w:sz w:val="15"/>
              </w:rPr>
              <w:t>Purpose</w:t>
            </w:r>
          </w:p>
        </w:tc>
      </w:tr>
      <w:tr>
        <w:trPr>
          <w:cantSplit/>
        </w:trPr>
        <w:tc>
          <w:tcPr>
            <w:tcW w:type="dxa" w:w="1800"/>
            <w:vAlign w:val="center"/>
            <w:tcMar>
              <w:top w:w="72" w:type="dxa"/>
              <w:start w:w="84" w:type="dxa"/>
              <w:bottom w:w="72" w:type="dxa"/>
              <w:end w:w="84" w:type="dxa"/>
            </w:tcMar>
          </w:tcPr>
          <w:p>
            <w:pPr>
              <w:spacing w:after="0"/>
            </w:pPr>
            <w:r>
              <w:rPr>
                <w:b/>
                <w:sz w:val="15"/>
              </w:rPr>
              <w:t>C2 Immediate</w:t>
            </w:r>
          </w:p>
        </w:tc>
        <w:tc>
          <w:tcPr>
            <w:tcW w:type="dxa" w:w="5400"/>
            <w:vAlign w:val="center"/>
            <w:tcMar>
              <w:top w:w="72" w:type="dxa"/>
              <w:start w:w="84" w:type="dxa"/>
              <w:bottom w:w="72" w:type="dxa"/>
              <w:end w:w="84" w:type="dxa"/>
            </w:tcMar>
          </w:tcPr>
          <w:p>
            <w:pPr>
              <w:spacing w:after="0"/>
            </w:pPr>
            <w:r>
              <w:rPr>
                <w:b w:val="0"/>
                <w:sz w:val="15"/>
              </w:rPr>
              <w:t>A coach discloses an academic warning and a personal observation to a parent and a newspaper.</w:t>
            </w:r>
          </w:p>
        </w:tc>
        <w:tc>
          <w:tcPr>
            <w:tcW w:type="dxa" w:w="3024"/>
            <w:vAlign w:val="center"/>
            <w:tcMar>
              <w:top w:w="72" w:type="dxa"/>
              <w:start w:w="84" w:type="dxa"/>
              <w:bottom w:w="72" w:type="dxa"/>
              <w:end w:w="84" w:type="dxa"/>
            </w:tcMar>
          </w:tcPr>
          <w:p>
            <w:pPr>
              <w:spacing w:after="0"/>
            </w:pPr>
            <w:r>
              <w:rPr>
                <w:b w:val="0"/>
                <w:sz w:val="15"/>
              </w:rPr>
              <w:t>Test unaided issue separation and recipient analysis.</w:t>
            </w:r>
          </w:p>
        </w:tc>
      </w:tr>
      <w:tr>
        <w:trPr>
          <w:cantSplit/>
        </w:trPr>
        <w:tc>
          <w:tcPr>
            <w:tcW w:type="dxa" w:w="1800"/>
            <w:vAlign w:val="center"/>
            <w:tcMar>
              <w:top w:w="72" w:type="dxa"/>
              <w:start w:w="84" w:type="dxa"/>
              <w:bottom w:w="72" w:type="dxa"/>
              <w:end w:w="84" w:type="dxa"/>
            </w:tcMar>
            <w:shd w:fill="F4F7F8"/>
          </w:tcPr>
          <w:p>
            <w:pPr>
              <w:spacing w:after="0"/>
            </w:pPr>
            <w:r>
              <w:rPr>
                <w:b/>
                <w:sz w:val="15"/>
              </w:rPr>
              <w:t>C3 Modeled retention</w:t>
            </w:r>
          </w:p>
        </w:tc>
        <w:tc>
          <w:tcPr>
            <w:tcW w:type="dxa" w:w="5400"/>
            <w:vAlign w:val="center"/>
            <w:tcMar>
              <w:top w:w="72" w:type="dxa"/>
              <w:start w:w="84" w:type="dxa"/>
              <w:bottom w:w="72" w:type="dxa"/>
              <w:end w:w="84" w:type="dxa"/>
            </w:tcMar>
            <w:shd w:fill="F4F7F8"/>
          </w:tcPr>
          <w:p>
            <w:pPr>
              <w:spacing w:after="0"/>
            </w:pPr>
            <w:r>
              <w:rPr>
                <w:b w:val="0"/>
                <w:sz w:val="15"/>
              </w:rPr>
              <w:t>A housing office shares a maintained accommodation note after an ambiguous safety message.</w:t>
            </w:r>
          </w:p>
        </w:tc>
        <w:tc>
          <w:tcPr>
            <w:tcW w:type="dxa" w:w="3024"/>
            <w:vAlign w:val="center"/>
            <w:tcMar>
              <w:top w:w="72" w:type="dxa"/>
              <w:start w:w="84" w:type="dxa"/>
              <w:bottom w:w="72" w:type="dxa"/>
              <w:end w:w="84" w:type="dxa"/>
            </w:tcMar>
            <w:shd w:fill="F4F7F8"/>
          </w:tcPr>
          <w:p>
            <w:pPr>
              <w:spacing w:after="0"/>
            </w:pPr>
            <w:r>
              <w:rPr>
                <w:b w:val="0"/>
                <w:sz w:val="15"/>
              </w:rPr>
              <w:t>Test whether the method remains available without critique.</w:t>
            </w:r>
          </w:p>
        </w:tc>
      </w:tr>
      <w:tr>
        <w:trPr>
          <w:cantSplit/>
        </w:trPr>
        <w:tc>
          <w:tcPr>
            <w:tcW w:type="dxa" w:w="1800"/>
            <w:vAlign w:val="center"/>
            <w:tcMar>
              <w:top w:w="72" w:type="dxa"/>
              <w:start w:w="84" w:type="dxa"/>
              <w:bottom w:w="72" w:type="dxa"/>
              <w:end w:w="84" w:type="dxa"/>
            </w:tcMar>
          </w:tcPr>
          <w:p>
            <w:pPr>
              <w:spacing w:after="0"/>
            </w:pPr>
            <w:r>
              <w:rPr>
                <w:b/>
                <w:sz w:val="15"/>
              </w:rPr>
              <w:t>C4 Modeled transfer</w:t>
            </w:r>
          </w:p>
        </w:tc>
        <w:tc>
          <w:tcPr>
            <w:tcW w:type="dxa" w:w="5400"/>
            <w:vAlign w:val="center"/>
            <w:tcMar>
              <w:top w:w="72" w:type="dxa"/>
              <w:start w:w="84" w:type="dxa"/>
              <w:bottom w:w="72" w:type="dxa"/>
              <w:end w:w="84" w:type="dxa"/>
            </w:tcMar>
          </w:tcPr>
          <w:p>
            <w:pPr>
              <w:spacing w:after="0"/>
            </w:pPr>
            <w:r>
              <w:rPr>
                <w:b w:val="0"/>
                <w:sz w:val="15"/>
              </w:rPr>
              <w:t>A school vendor holds the record and a city agency requests a limited item.</w:t>
            </w:r>
          </w:p>
        </w:tc>
        <w:tc>
          <w:tcPr>
            <w:tcW w:type="dxa" w:w="3024"/>
            <w:vAlign w:val="center"/>
            <w:tcMar>
              <w:top w:w="72" w:type="dxa"/>
              <w:start w:w="84" w:type="dxa"/>
              <w:bottom w:w="72" w:type="dxa"/>
              <w:end w:w="84" w:type="dxa"/>
            </w:tcMar>
          </w:tcPr>
          <w:p>
            <w:pPr>
              <w:spacing w:after="0"/>
            </w:pPr>
            <w:r>
              <w:rPr>
                <w:b w:val="0"/>
                <w:sz w:val="15"/>
              </w:rPr>
              <w:t>Test adaptation to a new custodian and recipient.</w:t>
            </w:r>
          </w:p>
        </w:tc>
      </w:tr>
    </w:tbl>
    <w:p>
      <w:pPr>
        <w:spacing w:before="100"/>
      </w:pPr>
      <w:r>
        <w:t>The later checks are designs only. Because no person completed them after an actual delay, the dry run cannot show learning, retention, transfer, or an advantage for H0, B1, or B2.</w:t>
      </w:r>
    </w:p>
    <w:p>
      <w:r>
        <w:br w:type="page"/>
      </w:r>
    </w:p>
    <w:p>
      <w:pPr>
        <w:pStyle w:val="Heading1"/>
      </w:pPr>
      <w:r>
        <w:t>Packet B synthetic scoring results</w:t>
      </w:r>
    </w:p>
    <w:p>
      <w:r>
        <w:t>These constructed totals test whether the outcome table can preserve separate conditions and time points. They must not be read as effect sizes or student results.</w:t>
      </w:r>
    </w:p>
    <w:tbl>
      <w:tblPr>
        <w:tblStyle w:val="TableGrid"/>
        <w:tblW w:type="auto" w:w="0"/>
        <w:jc w:val="center"/>
        <w:tblLayout w:type="fixed"/>
        <w:tblLook w:firstColumn="1" w:firstRow="1" w:lastColumn="0" w:lastRow="0" w:noHBand="0" w:noVBand="1" w:val="04A0"/>
      </w:tblPr>
      <w:tblGrid>
        <w:gridCol w:w="2068"/>
        <w:gridCol w:w="2068"/>
        <w:gridCol w:w="2068"/>
        <w:gridCol w:w="2068"/>
        <w:gridCol w:w="2068"/>
      </w:tblGrid>
      <w:tr>
        <w:trPr>
          <w:tblHeader w:val="true"/>
          <w:cantSplit/>
        </w:trPr>
        <w:tc>
          <w:tcPr>
            <w:tcW w:type="dxa" w:w="2088"/>
            <w:vAlign w:val="center"/>
            <w:shd w:fill="193F58"/>
            <w:tcMar>
              <w:top w:w="72" w:type="dxa"/>
              <w:start w:w="84" w:type="dxa"/>
              <w:bottom w:w="72" w:type="dxa"/>
              <w:end w:w="84" w:type="dxa"/>
            </w:tcMar>
          </w:tcPr>
          <w:p>
            <w:pPr>
              <w:spacing w:after="0"/>
            </w:pPr>
            <w:r>
              <w:rPr>
                <w:b/>
                <w:color w:val="FFFFFF"/>
                <w:sz w:val="14"/>
              </w:rPr>
              <w:t>Record</w:t>
            </w:r>
          </w:p>
        </w:tc>
        <w:tc>
          <w:tcPr>
            <w:tcW w:type="dxa" w:w="1800"/>
            <w:vAlign w:val="center"/>
            <w:shd w:fill="193F58"/>
            <w:tcMar>
              <w:top w:w="72" w:type="dxa"/>
              <w:start w:w="84" w:type="dxa"/>
              <w:bottom w:w="72" w:type="dxa"/>
              <w:end w:w="84" w:type="dxa"/>
            </w:tcMar>
          </w:tcPr>
          <w:p>
            <w:pPr>
              <w:spacing w:after="0"/>
            </w:pPr>
            <w:r>
              <w:rPr>
                <w:b/>
                <w:color w:val="FFFFFF"/>
                <w:sz w:val="14"/>
              </w:rPr>
              <w:t>H0</w:t>
            </w:r>
          </w:p>
        </w:tc>
        <w:tc>
          <w:tcPr>
            <w:tcW w:type="dxa" w:w="1800"/>
            <w:vAlign w:val="center"/>
            <w:shd w:fill="193F58"/>
            <w:tcMar>
              <w:top w:w="72" w:type="dxa"/>
              <w:start w:w="84" w:type="dxa"/>
              <w:bottom w:w="72" w:type="dxa"/>
              <w:end w:w="84" w:type="dxa"/>
            </w:tcMar>
          </w:tcPr>
          <w:p>
            <w:pPr>
              <w:spacing w:after="0"/>
            </w:pPr>
            <w:r>
              <w:rPr>
                <w:b/>
                <w:color w:val="FFFFFF"/>
                <w:sz w:val="14"/>
              </w:rPr>
              <w:t>B1</w:t>
            </w:r>
          </w:p>
        </w:tc>
        <w:tc>
          <w:tcPr>
            <w:tcW w:type="dxa" w:w="1800"/>
            <w:vAlign w:val="center"/>
            <w:shd w:fill="193F58"/>
            <w:tcMar>
              <w:top w:w="72" w:type="dxa"/>
              <w:start w:w="84" w:type="dxa"/>
              <w:bottom w:w="72" w:type="dxa"/>
              <w:end w:w="84" w:type="dxa"/>
            </w:tcMar>
          </w:tcPr>
          <w:p>
            <w:pPr>
              <w:spacing w:after="0"/>
            </w:pPr>
            <w:r>
              <w:rPr>
                <w:b/>
                <w:color w:val="FFFFFF"/>
                <w:sz w:val="14"/>
              </w:rPr>
              <w:t>B2</w:t>
            </w:r>
          </w:p>
        </w:tc>
        <w:tc>
          <w:tcPr>
            <w:tcW w:type="dxa" w:w="2736"/>
            <w:vAlign w:val="center"/>
            <w:shd w:fill="193F58"/>
            <w:tcMar>
              <w:top w:w="72" w:type="dxa"/>
              <w:start w:w="84" w:type="dxa"/>
              <w:bottom w:w="72" w:type="dxa"/>
              <w:end w:w="84" w:type="dxa"/>
            </w:tcMar>
          </w:tcPr>
          <w:p>
            <w:pPr>
              <w:spacing w:after="0"/>
            </w:pPr>
            <w:r>
              <w:rPr>
                <w:b/>
                <w:color w:val="FFFFFF"/>
                <w:sz w:val="14"/>
              </w:rPr>
              <w:t>Interpretive limit</w:t>
            </w:r>
          </w:p>
        </w:tc>
      </w:tr>
      <w:tr>
        <w:trPr>
          <w:cantSplit/>
        </w:trPr>
        <w:tc>
          <w:tcPr>
            <w:tcW w:type="dxa" w:w="2088"/>
            <w:vAlign w:val="center"/>
            <w:tcMar>
              <w:top w:w="72" w:type="dxa"/>
              <w:start w:w="84" w:type="dxa"/>
              <w:bottom w:w="72" w:type="dxa"/>
              <w:end w:w="84" w:type="dxa"/>
            </w:tcMar>
          </w:tcPr>
          <w:p>
            <w:pPr>
              <w:spacing w:after="0"/>
            </w:pPr>
            <w:r>
              <w:rPr>
                <w:b/>
                <w:sz w:val="14"/>
              </w:rPr>
              <w:t>C1 product Pass 1</w:t>
            </w:r>
          </w:p>
        </w:tc>
        <w:tc>
          <w:tcPr>
            <w:tcW w:type="dxa" w:w="1800"/>
            <w:vAlign w:val="center"/>
            <w:tcMar>
              <w:top w:w="72" w:type="dxa"/>
              <w:start w:w="84" w:type="dxa"/>
              <w:bottom w:w="72" w:type="dxa"/>
              <w:end w:w="84" w:type="dxa"/>
            </w:tcMar>
          </w:tcPr>
          <w:p>
            <w:pPr>
              <w:spacing w:after="0"/>
              <w:jc w:val="center"/>
            </w:pPr>
            <w:r>
              <w:rPr>
                <w:b w:val="0"/>
                <w:sz w:val="14"/>
              </w:rPr>
              <w:t>18 of 28</w:t>
            </w:r>
          </w:p>
        </w:tc>
        <w:tc>
          <w:tcPr>
            <w:tcW w:type="dxa" w:w="1800"/>
            <w:vAlign w:val="center"/>
            <w:tcMar>
              <w:top w:w="72" w:type="dxa"/>
              <w:start w:w="84" w:type="dxa"/>
              <w:bottom w:w="72" w:type="dxa"/>
              <w:end w:w="84" w:type="dxa"/>
            </w:tcMar>
          </w:tcPr>
          <w:p>
            <w:pPr>
              <w:spacing w:after="0"/>
              <w:jc w:val="center"/>
            </w:pPr>
            <w:r>
              <w:rPr>
                <w:b w:val="0"/>
                <w:sz w:val="14"/>
              </w:rPr>
              <w:t>22 of 28</w:t>
            </w:r>
          </w:p>
        </w:tc>
        <w:tc>
          <w:tcPr>
            <w:tcW w:type="dxa" w:w="1800"/>
            <w:vAlign w:val="center"/>
            <w:tcMar>
              <w:top w:w="72" w:type="dxa"/>
              <w:start w:w="84" w:type="dxa"/>
              <w:bottom w:w="72" w:type="dxa"/>
              <w:end w:w="84" w:type="dxa"/>
            </w:tcMar>
          </w:tcPr>
          <w:p>
            <w:pPr>
              <w:spacing w:after="0"/>
              <w:jc w:val="center"/>
            </w:pPr>
            <w:r>
              <w:rPr>
                <w:b w:val="0"/>
                <w:sz w:val="14"/>
              </w:rPr>
              <w:t>25 of 28</w:t>
            </w:r>
          </w:p>
        </w:tc>
        <w:tc>
          <w:tcPr>
            <w:tcW w:type="dxa" w:w="2736"/>
            <w:vAlign w:val="center"/>
            <w:tcMar>
              <w:top w:w="72" w:type="dxa"/>
              <w:start w:w="84" w:type="dxa"/>
              <w:bottom w:w="72" w:type="dxa"/>
              <w:end w:w="84" w:type="dxa"/>
            </w:tcMar>
          </w:tcPr>
          <w:p>
            <w:pPr>
              <w:spacing w:after="0"/>
            </w:pPr>
            <w:r>
              <w:rPr>
                <w:b w:val="0"/>
                <w:sz w:val="14"/>
              </w:rPr>
              <w:t>Constructed variation only</w:t>
            </w:r>
          </w:p>
        </w:tc>
      </w:tr>
      <w:tr>
        <w:trPr>
          <w:cantSplit/>
        </w:trPr>
        <w:tc>
          <w:tcPr>
            <w:tcW w:type="dxa" w:w="2088"/>
            <w:vAlign w:val="center"/>
            <w:tcMar>
              <w:top w:w="72" w:type="dxa"/>
              <w:start w:w="84" w:type="dxa"/>
              <w:bottom w:w="72" w:type="dxa"/>
              <w:end w:w="84" w:type="dxa"/>
            </w:tcMar>
            <w:shd w:fill="F4F7F8"/>
          </w:tcPr>
          <w:p>
            <w:pPr>
              <w:spacing w:after="0"/>
            </w:pPr>
            <w:r>
              <w:rPr>
                <w:b/>
                <w:sz w:val="14"/>
              </w:rPr>
              <w:t>C1 product Pass 2</w:t>
            </w:r>
          </w:p>
        </w:tc>
        <w:tc>
          <w:tcPr>
            <w:tcW w:type="dxa" w:w="1800"/>
            <w:vAlign w:val="center"/>
            <w:tcMar>
              <w:top w:w="72" w:type="dxa"/>
              <w:start w:w="84" w:type="dxa"/>
              <w:bottom w:w="72" w:type="dxa"/>
              <w:end w:w="84" w:type="dxa"/>
            </w:tcMar>
            <w:shd w:fill="F4F7F8"/>
          </w:tcPr>
          <w:p>
            <w:pPr>
              <w:spacing w:after="0"/>
              <w:jc w:val="center"/>
            </w:pPr>
            <w:r>
              <w:rPr>
                <w:b w:val="0"/>
                <w:sz w:val="14"/>
              </w:rPr>
              <w:t>19 of 28</w:t>
            </w:r>
          </w:p>
        </w:tc>
        <w:tc>
          <w:tcPr>
            <w:tcW w:type="dxa" w:w="1800"/>
            <w:vAlign w:val="center"/>
            <w:tcMar>
              <w:top w:w="72" w:type="dxa"/>
              <w:start w:w="84" w:type="dxa"/>
              <w:bottom w:w="72" w:type="dxa"/>
              <w:end w:w="84" w:type="dxa"/>
            </w:tcMar>
            <w:shd w:fill="F4F7F8"/>
          </w:tcPr>
          <w:p>
            <w:pPr>
              <w:spacing w:after="0"/>
              <w:jc w:val="center"/>
            </w:pPr>
            <w:r>
              <w:rPr>
                <w:b w:val="0"/>
                <w:sz w:val="14"/>
              </w:rPr>
              <w:t>22 of 28</w:t>
            </w:r>
          </w:p>
        </w:tc>
        <w:tc>
          <w:tcPr>
            <w:tcW w:type="dxa" w:w="1800"/>
            <w:vAlign w:val="center"/>
            <w:tcMar>
              <w:top w:w="72" w:type="dxa"/>
              <w:start w:w="84" w:type="dxa"/>
              <w:bottom w:w="72" w:type="dxa"/>
              <w:end w:w="84" w:type="dxa"/>
            </w:tcMar>
            <w:shd w:fill="F4F7F8"/>
          </w:tcPr>
          <w:p>
            <w:pPr>
              <w:spacing w:after="0"/>
              <w:jc w:val="center"/>
            </w:pPr>
            <w:r>
              <w:rPr>
                <w:b w:val="0"/>
                <w:sz w:val="14"/>
              </w:rPr>
              <w:t>24 of 28</w:t>
            </w:r>
          </w:p>
        </w:tc>
        <w:tc>
          <w:tcPr>
            <w:tcW w:type="dxa" w:w="2736"/>
            <w:vAlign w:val="center"/>
            <w:tcMar>
              <w:top w:w="72" w:type="dxa"/>
              <w:start w:w="84" w:type="dxa"/>
              <w:bottom w:w="72" w:type="dxa"/>
              <w:end w:w="84" w:type="dxa"/>
            </w:tcMar>
            <w:shd w:fill="F4F7F8"/>
          </w:tcPr>
          <w:p>
            <w:pPr>
              <w:spacing w:after="0"/>
            </w:pPr>
            <w:r>
              <w:rPr>
                <w:b w:val="0"/>
                <w:sz w:val="14"/>
              </w:rPr>
              <w:t>Constructed variation only</w:t>
            </w:r>
          </w:p>
        </w:tc>
      </w:tr>
      <w:tr>
        <w:trPr>
          <w:cantSplit/>
        </w:trPr>
        <w:tc>
          <w:tcPr>
            <w:tcW w:type="dxa" w:w="2088"/>
            <w:vAlign w:val="center"/>
            <w:tcMar>
              <w:top w:w="72" w:type="dxa"/>
              <w:start w:w="84" w:type="dxa"/>
              <w:bottom w:w="72" w:type="dxa"/>
              <w:end w:w="84" w:type="dxa"/>
            </w:tcMar>
          </w:tcPr>
          <w:p>
            <w:pPr>
              <w:spacing w:after="0"/>
            </w:pPr>
            <w:r>
              <w:rPr>
                <w:b/>
                <w:sz w:val="14"/>
              </w:rPr>
              <w:t>C2 protected</w:t>
            </w:r>
          </w:p>
        </w:tc>
        <w:tc>
          <w:tcPr>
            <w:tcW w:type="dxa" w:w="1800"/>
            <w:vAlign w:val="center"/>
            <w:tcMar>
              <w:top w:w="72" w:type="dxa"/>
              <w:start w:w="84" w:type="dxa"/>
              <w:bottom w:w="72" w:type="dxa"/>
              <w:end w:w="84" w:type="dxa"/>
            </w:tcMar>
          </w:tcPr>
          <w:p>
            <w:pPr>
              <w:spacing w:after="0"/>
              <w:jc w:val="center"/>
            </w:pPr>
            <w:r>
              <w:rPr>
                <w:b w:val="0"/>
                <w:sz w:val="14"/>
              </w:rPr>
              <w:t>Not administered</w:t>
            </w:r>
          </w:p>
        </w:tc>
        <w:tc>
          <w:tcPr>
            <w:tcW w:type="dxa" w:w="1800"/>
            <w:vAlign w:val="center"/>
            <w:tcMar>
              <w:top w:w="72" w:type="dxa"/>
              <w:start w:w="84" w:type="dxa"/>
              <w:bottom w:w="72" w:type="dxa"/>
              <w:end w:w="84" w:type="dxa"/>
            </w:tcMar>
          </w:tcPr>
          <w:p>
            <w:pPr>
              <w:spacing w:after="0"/>
              <w:jc w:val="center"/>
            </w:pPr>
            <w:r>
              <w:rPr>
                <w:b w:val="0"/>
                <w:sz w:val="14"/>
              </w:rPr>
              <w:t>Not administered</w:t>
            </w:r>
          </w:p>
        </w:tc>
        <w:tc>
          <w:tcPr>
            <w:tcW w:type="dxa" w:w="1800"/>
            <w:vAlign w:val="center"/>
            <w:tcMar>
              <w:top w:w="72" w:type="dxa"/>
              <w:start w:w="84" w:type="dxa"/>
              <w:bottom w:w="72" w:type="dxa"/>
              <w:end w:w="84" w:type="dxa"/>
            </w:tcMar>
          </w:tcPr>
          <w:p>
            <w:pPr>
              <w:spacing w:after="0"/>
              <w:jc w:val="center"/>
            </w:pPr>
            <w:r>
              <w:rPr>
                <w:b w:val="0"/>
                <w:sz w:val="14"/>
              </w:rPr>
              <w:t>Not administered</w:t>
            </w:r>
          </w:p>
        </w:tc>
        <w:tc>
          <w:tcPr>
            <w:tcW w:type="dxa" w:w="2736"/>
            <w:vAlign w:val="center"/>
            <w:tcMar>
              <w:top w:w="72" w:type="dxa"/>
              <w:start w:w="84" w:type="dxa"/>
              <w:bottom w:w="72" w:type="dxa"/>
              <w:end w:w="84" w:type="dxa"/>
            </w:tcMar>
          </w:tcPr>
          <w:p>
            <w:pPr>
              <w:spacing w:after="0"/>
            </w:pPr>
            <w:r>
              <w:rPr>
                <w:b w:val="0"/>
                <w:sz w:val="14"/>
              </w:rPr>
              <w:t>No immediate learning result</w:t>
            </w:r>
          </w:p>
        </w:tc>
      </w:tr>
      <w:tr>
        <w:trPr>
          <w:cantSplit/>
        </w:trPr>
        <w:tc>
          <w:tcPr>
            <w:tcW w:type="dxa" w:w="2088"/>
            <w:vAlign w:val="center"/>
            <w:tcMar>
              <w:top w:w="72" w:type="dxa"/>
              <w:start w:w="84" w:type="dxa"/>
              <w:bottom w:w="72" w:type="dxa"/>
              <w:end w:w="84" w:type="dxa"/>
            </w:tcMar>
            <w:shd w:fill="F4F7F8"/>
          </w:tcPr>
          <w:p>
            <w:pPr>
              <w:spacing w:after="0"/>
            </w:pPr>
            <w:r>
              <w:rPr>
                <w:b/>
                <w:sz w:val="14"/>
              </w:rPr>
              <w:t>C3 retention</w:t>
            </w:r>
          </w:p>
        </w:tc>
        <w:tc>
          <w:tcPr>
            <w:tcW w:type="dxa" w:w="1800"/>
            <w:vAlign w:val="center"/>
            <w:tcMar>
              <w:top w:w="72" w:type="dxa"/>
              <w:start w:w="84" w:type="dxa"/>
              <w:bottom w:w="72" w:type="dxa"/>
              <w:end w:w="84" w:type="dxa"/>
            </w:tcMar>
            <w:shd w:fill="F4F7F8"/>
          </w:tcPr>
          <w:p>
            <w:pPr>
              <w:spacing w:after="0"/>
              <w:jc w:val="center"/>
            </w:pPr>
            <w:r>
              <w:rPr>
                <w:b w:val="0"/>
                <w:sz w:val="14"/>
              </w:rPr>
              <w:t>Not administered</w:t>
            </w:r>
          </w:p>
        </w:tc>
        <w:tc>
          <w:tcPr>
            <w:tcW w:type="dxa" w:w="1800"/>
            <w:vAlign w:val="center"/>
            <w:tcMar>
              <w:top w:w="72" w:type="dxa"/>
              <w:start w:w="84" w:type="dxa"/>
              <w:bottom w:w="72" w:type="dxa"/>
              <w:end w:w="84" w:type="dxa"/>
            </w:tcMar>
            <w:shd w:fill="F4F7F8"/>
          </w:tcPr>
          <w:p>
            <w:pPr>
              <w:spacing w:after="0"/>
              <w:jc w:val="center"/>
            </w:pPr>
            <w:r>
              <w:rPr>
                <w:b w:val="0"/>
                <w:sz w:val="14"/>
              </w:rPr>
              <w:t>Not administered</w:t>
            </w:r>
          </w:p>
        </w:tc>
        <w:tc>
          <w:tcPr>
            <w:tcW w:type="dxa" w:w="1800"/>
            <w:vAlign w:val="center"/>
            <w:tcMar>
              <w:top w:w="72" w:type="dxa"/>
              <w:start w:w="84" w:type="dxa"/>
              <w:bottom w:w="72" w:type="dxa"/>
              <w:end w:w="84" w:type="dxa"/>
            </w:tcMar>
            <w:shd w:fill="F4F7F8"/>
          </w:tcPr>
          <w:p>
            <w:pPr>
              <w:spacing w:after="0"/>
              <w:jc w:val="center"/>
            </w:pPr>
            <w:r>
              <w:rPr>
                <w:b w:val="0"/>
                <w:sz w:val="14"/>
              </w:rPr>
              <w:t>Not administered</w:t>
            </w:r>
          </w:p>
        </w:tc>
        <w:tc>
          <w:tcPr>
            <w:tcW w:type="dxa" w:w="2736"/>
            <w:vAlign w:val="center"/>
            <w:tcMar>
              <w:top w:w="72" w:type="dxa"/>
              <w:start w:w="84" w:type="dxa"/>
              <w:bottom w:w="72" w:type="dxa"/>
              <w:end w:w="84" w:type="dxa"/>
            </w:tcMar>
            <w:shd w:fill="F4F7F8"/>
          </w:tcPr>
          <w:p>
            <w:pPr>
              <w:spacing w:after="0"/>
            </w:pPr>
            <w:r>
              <w:rPr>
                <w:b w:val="0"/>
                <w:sz w:val="14"/>
              </w:rPr>
              <w:t>No retention result</w:t>
            </w:r>
          </w:p>
        </w:tc>
      </w:tr>
      <w:tr>
        <w:trPr>
          <w:cantSplit/>
        </w:trPr>
        <w:tc>
          <w:tcPr>
            <w:tcW w:type="dxa" w:w="2088"/>
            <w:vAlign w:val="center"/>
            <w:tcMar>
              <w:top w:w="72" w:type="dxa"/>
              <w:start w:w="84" w:type="dxa"/>
              <w:bottom w:w="72" w:type="dxa"/>
              <w:end w:w="84" w:type="dxa"/>
            </w:tcMar>
          </w:tcPr>
          <w:p>
            <w:pPr>
              <w:spacing w:after="0"/>
            </w:pPr>
            <w:r>
              <w:rPr>
                <w:b/>
                <w:sz w:val="14"/>
              </w:rPr>
              <w:t>C4 transfer</w:t>
            </w:r>
          </w:p>
        </w:tc>
        <w:tc>
          <w:tcPr>
            <w:tcW w:type="dxa" w:w="1800"/>
            <w:vAlign w:val="center"/>
            <w:tcMar>
              <w:top w:w="72" w:type="dxa"/>
              <w:start w:w="84" w:type="dxa"/>
              <w:bottom w:w="72" w:type="dxa"/>
              <w:end w:w="84" w:type="dxa"/>
            </w:tcMar>
          </w:tcPr>
          <w:p>
            <w:pPr>
              <w:spacing w:after="0"/>
              <w:jc w:val="center"/>
            </w:pPr>
            <w:r>
              <w:rPr>
                <w:b w:val="0"/>
                <w:sz w:val="14"/>
              </w:rPr>
              <w:t>Not administered</w:t>
            </w:r>
          </w:p>
        </w:tc>
        <w:tc>
          <w:tcPr>
            <w:tcW w:type="dxa" w:w="1800"/>
            <w:vAlign w:val="center"/>
            <w:tcMar>
              <w:top w:w="72" w:type="dxa"/>
              <w:start w:w="84" w:type="dxa"/>
              <w:bottom w:w="72" w:type="dxa"/>
              <w:end w:w="84" w:type="dxa"/>
            </w:tcMar>
          </w:tcPr>
          <w:p>
            <w:pPr>
              <w:spacing w:after="0"/>
              <w:jc w:val="center"/>
            </w:pPr>
            <w:r>
              <w:rPr>
                <w:b w:val="0"/>
                <w:sz w:val="14"/>
              </w:rPr>
              <w:t>Not administered</w:t>
            </w:r>
          </w:p>
        </w:tc>
        <w:tc>
          <w:tcPr>
            <w:tcW w:type="dxa" w:w="1800"/>
            <w:vAlign w:val="center"/>
            <w:tcMar>
              <w:top w:w="72" w:type="dxa"/>
              <w:start w:w="84" w:type="dxa"/>
              <w:bottom w:w="72" w:type="dxa"/>
              <w:end w:w="84" w:type="dxa"/>
            </w:tcMar>
          </w:tcPr>
          <w:p>
            <w:pPr>
              <w:spacing w:after="0"/>
              <w:jc w:val="center"/>
            </w:pPr>
            <w:r>
              <w:rPr>
                <w:b w:val="0"/>
                <w:sz w:val="14"/>
              </w:rPr>
              <w:t>Not administered</w:t>
            </w:r>
          </w:p>
        </w:tc>
        <w:tc>
          <w:tcPr>
            <w:tcW w:type="dxa" w:w="2736"/>
            <w:vAlign w:val="center"/>
            <w:tcMar>
              <w:top w:w="72" w:type="dxa"/>
              <w:start w:w="84" w:type="dxa"/>
              <w:bottom w:w="72" w:type="dxa"/>
              <w:end w:w="84" w:type="dxa"/>
            </w:tcMar>
          </w:tcPr>
          <w:p>
            <w:pPr>
              <w:spacing w:after="0"/>
            </w:pPr>
            <w:r>
              <w:rPr>
                <w:b w:val="0"/>
                <w:sz w:val="14"/>
              </w:rPr>
              <w:t>No transfer result</w:t>
            </w:r>
          </w:p>
        </w:tc>
      </w:tr>
    </w:tbl>
    <w:p>
      <w:pPr>
        <w:pStyle w:val="Heading2"/>
      </w:pPr>
      <w:r>
        <w:t>Scoring disagreements exposed</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5"/>
              </w:rPr>
              <w:t>Dimension</w:t>
            </w:r>
          </w:p>
        </w:tc>
        <w:tc>
          <w:tcPr>
            <w:tcW w:type="dxa" w:w="3528"/>
            <w:vAlign w:val="center"/>
            <w:shd w:fill="193F58"/>
            <w:tcMar>
              <w:top w:w="72" w:type="dxa"/>
              <w:start w:w="84" w:type="dxa"/>
              <w:bottom w:w="72" w:type="dxa"/>
              <w:end w:w="84" w:type="dxa"/>
            </w:tcMar>
          </w:tcPr>
          <w:p>
            <w:pPr>
              <w:spacing w:after="0"/>
            </w:pPr>
            <w:r>
              <w:rPr>
                <w:b/>
                <w:color w:val="FFFFFF"/>
                <w:sz w:val="15"/>
              </w:rPr>
              <w:t>Plausible difference</w:t>
            </w:r>
          </w:p>
        </w:tc>
        <w:tc>
          <w:tcPr>
            <w:tcW w:type="dxa" w:w="4464"/>
            <w:vAlign w:val="center"/>
            <w:shd w:fill="193F58"/>
            <w:tcMar>
              <w:top w:w="72" w:type="dxa"/>
              <w:start w:w="84" w:type="dxa"/>
              <w:bottom w:w="72" w:type="dxa"/>
              <w:end w:w="84" w:type="dxa"/>
            </w:tcMar>
          </w:tcPr>
          <w:p>
            <w:pPr>
              <w:spacing w:after="0"/>
            </w:pPr>
            <w:r>
              <w:rPr>
                <w:b/>
                <w:color w:val="FFFFFF"/>
                <w:sz w:val="15"/>
              </w:rPr>
              <w:t>Required clarification</w:t>
            </w:r>
          </w:p>
        </w:tc>
      </w:tr>
      <w:tr>
        <w:trPr>
          <w:cantSplit/>
        </w:trPr>
        <w:tc>
          <w:tcPr>
            <w:tcW w:type="dxa" w:w="2232"/>
            <w:vAlign w:val="center"/>
            <w:tcMar>
              <w:top w:w="72" w:type="dxa"/>
              <w:start w:w="84" w:type="dxa"/>
              <w:bottom w:w="72" w:type="dxa"/>
              <w:end w:w="84" w:type="dxa"/>
            </w:tcMar>
          </w:tcPr>
          <w:p>
            <w:pPr>
              <w:spacing w:after="0"/>
            </w:pPr>
            <w:r>
              <w:rPr>
                <w:b/>
                <w:sz w:val="15"/>
              </w:rPr>
              <w:t>Issue recognition</w:t>
            </w:r>
          </w:p>
        </w:tc>
        <w:tc>
          <w:tcPr>
            <w:tcW w:type="dxa" w:w="3528"/>
            <w:vAlign w:val="center"/>
            <w:tcMar>
              <w:top w:w="72" w:type="dxa"/>
              <w:start w:w="84" w:type="dxa"/>
              <w:bottom w:w="72" w:type="dxa"/>
              <w:end w:w="84" w:type="dxa"/>
            </w:tcMar>
          </w:tcPr>
          <w:p>
            <w:pPr>
              <w:spacing w:after="0"/>
            </w:pPr>
            <w:r>
              <w:rPr>
                <w:b w:val="0"/>
                <w:sz w:val="15"/>
              </w:rPr>
              <w:t>Whether recipient and information type are separate issues.</w:t>
            </w:r>
          </w:p>
        </w:tc>
        <w:tc>
          <w:tcPr>
            <w:tcW w:type="dxa" w:w="4464"/>
            <w:vAlign w:val="center"/>
            <w:tcMar>
              <w:top w:w="72" w:type="dxa"/>
              <w:start w:w="84" w:type="dxa"/>
              <w:bottom w:w="72" w:type="dxa"/>
              <w:end w:w="84" w:type="dxa"/>
            </w:tcMar>
          </w:tcPr>
          <w:p>
            <w:pPr>
              <w:spacing w:after="0"/>
            </w:pPr>
            <w:r>
              <w:rPr>
                <w:b w:val="0"/>
                <w:sz w:val="15"/>
              </w:rPr>
              <w:t>The key must list each registered material issue before scoring.</w:t>
            </w:r>
          </w:p>
        </w:tc>
      </w:tr>
      <w:tr>
        <w:trPr>
          <w:cantSplit/>
        </w:trPr>
        <w:tc>
          <w:tcPr>
            <w:tcW w:type="dxa" w:w="2232"/>
            <w:vAlign w:val="center"/>
            <w:tcMar>
              <w:top w:w="72" w:type="dxa"/>
              <w:start w:w="84" w:type="dxa"/>
              <w:bottom w:w="72" w:type="dxa"/>
              <w:end w:w="84" w:type="dxa"/>
            </w:tcMar>
            <w:shd w:fill="F4F7F8"/>
          </w:tcPr>
          <w:p>
            <w:pPr>
              <w:spacing w:after="0"/>
            </w:pPr>
            <w:r>
              <w:rPr>
                <w:b/>
                <w:sz w:val="15"/>
              </w:rPr>
              <w:t>Rule and authority</w:t>
            </w:r>
          </w:p>
        </w:tc>
        <w:tc>
          <w:tcPr>
            <w:tcW w:type="dxa" w:w="3528"/>
            <w:vAlign w:val="center"/>
            <w:tcMar>
              <w:top w:w="72" w:type="dxa"/>
              <w:start w:w="84" w:type="dxa"/>
              <w:bottom w:w="72" w:type="dxa"/>
              <w:end w:w="84" w:type="dxa"/>
            </w:tcMar>
            <w:shd w:fill="F4F7F8"/>
          </w:tcPr>
          <w:p>
            <w:pPr>
              <w:spacing w:after="0"/>
            </w:pPr>
            <w:r>
              <w:rPr>
                <w:b w:val="0"/>
                <w:sz w:val="15"/>
              </w:rPr>
              <w:t>Whether correct paraphrase without a provision number is sufficient.</w:t>
            </w:r>
          </w:p>
        </w:tc>
        <w:tc>
          <w:tcPr>
            <w:tcW w:type="dxa" w:w="4464"/>
            <w:vAlign w:val="center"/>
            <w:tcMar>
              <w:top w:w="72" w:type="dxa"/>
              <w:start w:w="84" w:type="dxa"/>
              <w:bottom w:w="72" w:type="dxa"/>
              <w:end w:w="84" w:type="dxa"/>
            </w:tcMar>
            <w:shd w:fill="F4F7F8"/>
          </w:tcPr>
          <w:p>
            <w:pPr>
              <w:spacing w:after="0"/>
            </w:pPr>
            <w:r>
              <w:rPr>
                <w:b w:val="0"/>
                <w:sz w:val="15"/>
              </w:rPr>
              <w:t>Score authority use from accurate support; record citation form separately.</w:t>
            </w:r>
          </w:p>
        </w:tc>
      </w:tr>
      <w:tr>
        <w:trPr>
          <w:cantSplit/>
        </w:trPr>
        <w:tc>
          <w:tcPr>
            <w:tcW w:type="dxa" w:w="2232"/>
            <w:vAlign w:val="center"/>
            <w:tcMar>
              <w:top w:w="72" w:type="dxa"/>
              <w:start w:w="84" w:type="dxa"/>
              <w:bottom w:w="72" w:type="dxa"/>
              <w:end w:w="84" w:type="dxa"/>
            </w:tcMar>
          </w:tcPr>
          <w:p>
            <w:pPr>
              <w:spacing w:after="0"/>
            </w:pPr>
            <w:r>
              <w:rPr>
                <w:b/>
                <w:sz w:val="15"/>
              </w:rPr>
              <w:t>Verification</w:t>
            </w:r>
          </w:p>
        </w:tc>
        <w:tc>
          <w:tcPr>
            <w:tcW w:type="dxa" w:w="3528"/>
            <w:vAlign w:val="center"/>
            <w:tcMar>
              <w:top w:w="72" w:type="dxa"/>
              <w:start w:w="84" w:type="dxa"/>
              <w:bottom w:w="72" w:type="dxa"/>
              <w:end w:w="84" w:type="dxa"/>
            </w:tcMar>
          </w:tcPr>
          <w:p>
            <w:pPr>
              <w:spacing w:after="0"/>
            </w:pPr>
            <w:r>
              <w:rPr>
                <w:b w:val="0"/>
                <w:sz w:val="15"/>
              </w:rPr>
              <w:t>Whether using only the closed packet automatically earns a strong score.</w:t>
            </w:r>
          </w:p>
        </w:tc>
        <w:tc>
          <w:tcPr>
            <w:tcW w:type="dxa" w:w="4464"/>
            <w:vAlign w:val="center"/>
            <w:tcMar>
              <w:top w:w="72" w:type="dxa"/>
              <w:start w:w="84" w:type="dxa"/>
              <w:bottom w:w="72" w:type="dxa"/>
              <w:end w:w="84" w:type="dxa"/>
            </w:tcMar>
          </w:tcPr>
          <w:p>
            <w:pPr>
              <w:spacing w:after="0"/>
            </w:pPr>
            <w:r>
              <w:rPr>
                <w:b w:val="0"/>
                <w:sz w:val="15"/>
              </w:rPr>
              <w:t>Require an affirmative check of every quoted or attributed proposition.</w:t>
            </w:r>
          </w:p>
        </w:tc>
      </w:tr>
      <w:tr>
        <w:trPr>
          <w:cantSplit/>
        </w:trPr>
        <w:tc>
          <w:tcPr>
            <w:tcW w:type="dxa" w:w="2232"/>
            <w:vAlign w:val="center"/>
            <w:tcMar>
              <w:top w:w="72" w:type="dxa"/>
              <w:start w:w="84" w:type="dxa"/>
              <w:bottom w:w="72" w:type="dxa"/>
              <w:end w:w="84" w:type="dxa"/>
            </w:tcMar>
            <w:shd w:fill="F4F7F8"/>
          </w:tcPr>
          <w:p>
            <w:pPr>
              <w:spacing w:after="0"/>
            </w:pPr>
            <w:r>
              <w:rPr>
                <w:b/>
                <w:sz w:val="15"/>
              </w:rPr>
              <w:t>Judgment</w:t>
            </w:r>
          </w:p>
        </w:tc>
        <w:tc>
          <w:tcPr>
            <w:tcW w:type="dxa" w:w="3528"/>
            <w:vAlign w:val="center"/>
            <w:tcMar>
              <w:top w:w="72" w:type="dxa"/>
              <w:start w:w="84" w:type="dxa"/>
              <w:bottom w:w="72" w:type="dxa"/>
              <w:end w:w="84" w:type="dxa"/>
            </w:tcMar>
            <w:shd w:fill="F4F7F8"/>
          </w:tcPr>
          <w:p>
            <w:pPr>
              <w:spacing w:after="0"/>
            </w:pPr>
            <w:r>
              <w:rPr>
                <w:b w:val="0"/>
                <w:sz w:val="15"/>
              </w:rPr>
              <w:t>Whether a cautious conclusion is necessarily well judged.</w:t>
            </w:r>
          </w:p>
        </w:tc>
        <w:tc>
          <w:tcPr>
            <w:tcW w:type="dxa" w:w="4464"/>
            <w:vAlign w:val="center"/>
            <w:tcMar>
              <w:top w:w="72" w:type="dxa"/>
              <w:start w:w="84" w:type="dxa"/>
              <w:bottom w:w="72" w:type="dxa"/>
              <w:end w:w="84" w:type="dxa"/>
            </w:tcMar>
            <w:shd w:fill="F4F7F8"/>
          </w:tcPr>
          <w:p>
            <w:pPr>
              <w:spacing w:after="0"/>
            </w:pPr>
            <w:r>
              <w:rPr>
                <w:b w:val="0"/>
                <w:sz w:val="15"/>
              </w:rPr>
              <w:t>Score fit between uncertainty and evidence, not cautious tone alone.</w:t>
            </w:r>
          </w:p>
        </w:tc>
      </w:tr>
      <w:tr>
        <w:trPr>
          <w:cantSplit/>
        </w:trPr>
        <w:tc>
          <w:tcPr>
            <w:tcW w:type="dxa" w:w="2232"/>
            <w:vAlign w:val="center"/>
            <w:tcMar>
              <w:top w:w="72" w:type="dxa"/>
              <w:start w:w="84" w:type="dxa"/>
              <w:bottom w:w="72" w:type="dxa"/>
              <w:end w:w="84" w:type="dxa"/>
            </w:tcMar>
          </w:tcPr>
          <w:p>
            <w:pPr>
              <w:spacing w:after="0"/>
            </w:pPr>
            <w:r>
              <w:rPr>
                <w:b/>
                <w:sz w:val="15"/>
              </w:rPr>
              <w:t>Authorship and oral ownership</w:t>
            </w:r>
          </w:p>
        </w:tc>
        <w:tc>
          <w:tcPr>
            <w:tcW w:type="dxa" w:w="3528"/>
            <w:vAlign w:val="center"/>
            <w:tcMar>
              <w:top w:w="72" w:type="dxa"/>
              <w:start w:w="84" w:type="dxa"/>
              <w:bottom w:w="72" w:type="dxa"/>
              <w:end w:w="84" w:type="dxa"/>
            </w:tcMar>
          </w:tcPr>
          <w:p>
            <w:pPr>
              <w:spacing w:after="0"/>
            </w:pPr>
            <w:r>
              <w:rPr>
                <w:b w:val="0"/>
                <w:sz w:val="15"/>
              </w:rPr>
              <w:t>Whether revision choices prove personal understanding.</w:t>
            </w:r>
          </w:p>
        </w:tc>
        <w:tc>
          <w:tcPr>
            <w:tcW w:type="dxa" w:w="4464"/>
            <w:vAlign w:val="center"/>
            <w:tcMar>
              <w:top w:w="72" w:type="dxa"/>
              <w:start w:w="84" w:type="dxa"/>
              <w:bottom w:w="72" w:type="dxa"/>
              <w:end w:w="84" w:type="dxa"/>
            </w:tcMar>
          </w:tcPr>
          <w:p>
            <w:pPr>
              <w:spacing w:after="0"/>
            </w:pPr>
            <w:r>
              <w:rPr>
                <w:b w:val="0"/>
                <w:sz w:val="15"/>
              </w:rPr>
              <w:t>Require a separate protected explanation or understanding check.</w:t>
            </w:r>
          </w:p>
        </w:tc>
      </w:tr>
    </w:tbl>
    <w:p>
      <w:pPr>
        <w:pStyle w:val="Heading2"/>
      </w:pPr>
      <w:r>
        <w:t>Dry run judgment</w:t>
      </w:r>
    </w:p>
    <w:p>
      <w:r>
        <w:t>Packet B can move to an educator tabletop review only with the revised boundary prompt and frozen human first record. The synthetic increase in C1 totals shows that the form can record product differences; it provides no evidence that bounded critique improves independent learning. Only completed C2 through C4 checks could address that question.</w:t>
      </w:r>
    </w:p>
    <w:p>
      <w:r>
        <w:br w:type="page"/>
      </w:r>
    </w:p>
    <w:p>
      <w:pPr>
        <w:pStyle w:val="Heading1"/>
      </w:pPr>
      <w:r>
        <w:t>Authorization privacy and accessibility tests</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4392"/>
            <w:vAlign w:val="center"/>
            <w:shd w:fill="193F58"/>
            <w:tcMar>
              <w:top w:w="72" w:type="dxa"/>
              <w:start w:w="84" w:type="dxa"/>
              <w:bottom w:w="72" w:type="dxa"/>
              <w:end w:w="84" w:type="dxa"/>
            </w:tcMar>
          </w:tcPr>
          <w:p>
            <w:pPr>
              <w:spacing w:after="0"/>
            </w:pPr>
            <w:r>
              <w:rPr>
                <w:b/>
                <w:color w:val="FFFFFF"/>
                <w:sz w:val="14"/>
              </w:rPr>
              <w:t>Test scenario</w:t>
            </w:r>
          </w:p>
        </w:tc>
        <w:tc>
          <w:tcPr>
            <w:tcW w:type="dxa" w:w="4392"/>
            <w:vAlign w:val="center"/>
            <w:shd w:fill="193F58"/>
            <w:tcMar>
              <w:top w:w="72" w:type="dxa"/>
              <w:start w:w="84" w:type="dxa"/>
              <w:bottom w:w="72" w:type="dxa"/>
              <w:end w:w="84" w:type="dxa"/>
            </w:tcMar>
          </w:tcPr>
          <w:p>
            <w:pPr>
              <w:spacing w:after="0"/>
            </w:pPr>
            <w:r>
              <w:rPr>
                <w:b/>
                <w:color w:val="FFFFFF"/>
                <w:sz w:val="14"/>
              </w:rPr>
              <w:t>Required action</w:t>
            </w:r>
          </w:p>
        </w:tc>
        <w:tc>
          <w:tcPr>
            <w:tcW w:type="dxa" w:w="1440"/>
            <w:vAlign w:val="center"/>
            <w:shd w:fill="193F58"/>
            <w:tcMar>
              <w:top w:w="72" w:type="dxa"/>
              <w:start w:w="84" w:type="dxa"/>
              <w:bottom w:w="72" w:type="dxa"/>
              <w:end w:w="84" w:type="dxa"/>
            </w:tcMar>
          </w:tcPr>
          <w:p>
            <w:pPr>
              <w:spacing w:after="0"/>
            </w:pPr>
            <w:r>
              <w:rPr>
                <w:b/>
                <w:color w:val="FFFFFF"/>
                <w:sz w:val="14"/>
              </w:rPr>
              <w:t>Dry run result</w:t>
            </w:r>
          </w:p>
        </w:tc>
      </w:tr>
      <w:tr>
        <w:trPr>
          <w:cantSplit/>
        </w:trPr>
        <w:tc>
          <w:tcPr>
            <w:tcW w:type="dxa" w:w="4392"/>
            <w:vAlign w:val="center"/>
            <w:tcMar>
              <w:top w:w="72" w:type="dxa"/>
              <w:start w:w="84" w:type="dxa"/>
              <w:bottom w:w="72" w:type="dxa"/>
              <w:end w:w="84" w:type="dxa"/>
            </w:tcMar>
          </w:tcPr>
          <w:p>
            <w:pPr>
              <w:spacing w:after="0"/>
            </w:pPr>
            <w:r>
              <w:rPr>
                <w:b/>
                <w:sz w:val="14"/>
              </w:rPr>
              <w:t>The operative course rule prohibits artificial intelligence.</w:t>
            </w:r>
          </w:p>
        </w:tc>
        <w:tc>
          <w:tcPr>
            <w:tcW w:type="dxa" w:w="4392"/>
            <w:vAlign w:val="center"/>
            <w:tcMar>
              <w:top w:w="72" w:type="dxa"/>
              <w:start w:w="84" w:type="dxa"/>
              <w:bottom w:w="72" w:type="dxa"/>
              <w:end w:w="84" w:type="dxa"/>
            </w:tcMar>
          </w:tcPr>
          <w:p>
            <w:pPr>
              <w:spacing w:after="0"/>
            </w:pPr>
            <w:r>
              <w:rPr>
                <w:b w:val="0"/>
                <w:sz w:val="14"/>
              </w:rPr>
              <w:t>Use H0 only and record that the comparison did not launch.</w:t>
            </w:r>
          </w:p>
        </w:tc>
        <w:tc>
          <w:tcPr>
            <w:tcW w:type="dxa" w:w="1440"/>
            <w:vAlign w:val="center"/>
            <w:tcMar>
              <w:top w:w="72" w:type="dxa"/>
              <w:start w:w="84" w:type="dxa"/>
              <w:bottom w:w="72" w:type="dxa"/>
              <w:end w:w="84" w:type="dxa"/>
            </w:tcMar>
          </w:tcPr>
          <w:p>
            <w:pPr>
              <w:spacing w:after="0"/>
              <w:jc w:val="center"/>
            </w:pPr>
            <w:r>
              <w:rPr>
                <w:b w:val="0"/>
                <w:sz w:val="14"/>
              </w:rPr>
              <w:t>Stop rule works</w:t>
            </w:r>
          </w:p>
        </w:tc>
      </w:tr>
      <w:tr>
        <w:trPr>
          <w:cantSplit/>
        </w:trPr>
        <w:tc>
          <w:tcPr>
            <w:tcW w:type="dxa" w:w="4392"/>
            <w:vAlign w:val="center"/>
            <w:tcMar>
              <w:top w:w="72" w:type="dxa"/>
              <w:start w:w="84" w:type="dxa"/>
              <w:bottom w:w="72" w:type="dxa"/>
              <w:end w:w="84" w:type="dxa"/>
            </w:tcMar>
            <w:shd w:fill="F4F7F8"/>
          </w:tcPr>
          <w:p>
            <w:pPr>
              <w:spacing w:after="0"/>
            </w:pPr>
            <w:r>
              <w:rPr>
                <w:b/>
                <w:sz w:val="14"/>
              </w:rPr>
              <w:t>The proposed account is personal or not institutionally approved.</w:t>
            </w:r>
          </w:p>
        </w:tc>
        <w:tc>
          <w:tcPr>
            <w:tcW w:type="dxa" w:w="4392"/>
            <w:vAlign w:val="center"/>
            <w:tcMar>
              <w:top w:w="72" w:type="dxa"/>
              <w:start w:w="84" w:type="dxa"/>
              <w:bottom w:w="72" w:type="dxa"/>
              <w:end w:w="84" w:type="dxa"/>
            </w:tcMar>
            <w:shd w:fill="F4F7F8"/>
          </w:tcPr>
          <w:p>
            <w:pPr>
              <w:spacing w:after="0"/>
            </w:pPr>
            <w:r>
              <w:rPr>
                <w:b w:val="0"/>
                <w:sz w:val="14"/>
              </w:rPr>
              <w:t>Do not enter material or create a substitute account.</w:t>
            </w:r>
          </w:p>
        </w:tc>
        <w:tc>
          <w:tcPr>
            <w:tcW w:type="dxa" w:w="1440"/>
            <w:vAlign w:val="center"/>
            <w:tcMar>
              <w:top w:w="72" w:type="dxa"/>
              <w:start w:w="84" w:type="dxa"/>
              <w:bottom w:w="72" w:type="dxa"/>
              <w:end w:w="84" w:type="dxa"/>
            </w:tcMar>
            <w:shd w:fill="F4F7F8"/>
          </w:tcPr>
          <w:p>
            <w:pPr>
              <w:spacing w:after="0"/>
              <w:jc w:val="center"/>
            </w:pPr>
            <w:r>
              <w:rPr>
                <w:b w:val="0"/>
                <w:sz w:val="14"/>
              </w:rPr>
              <w:t>Stop rule works</w:t>
            </w:r>
          </w:p>
        </w:tc>
      </w:tr>
      <w:tr>
        <w:trPr>
          <w:cantSplit/>
        </w:trPr>
        <w:tc>
          <w:tcPr>
            <w:tcW w:type="dxa" w:w="4392"/>
            <w:vAlign w:val="center"/>
            <w:tcMar>
              <w:top w:w="72" w:type="dxa"/>
              <w:start w:w="84" w:type="dxa"/>
              <w:bottom w:w="72" w:type="dxa"/>
              <w:end w:w="84" w:type="dxa"/>
            </w:tcMar>
          </w:tcPr>
          <w:p>
            <w:pPr>
              <w:spacing w:after="0"/>
            </w:pPr>
            <w:r>
              <w:rPr>
                <w:b/>
                <w:sz w:val="14"/>
              </w:rPr>
              <w:t>The example contains real student or client information.</w:t>
            </w:r>
          </w:p>
        </w:tc>
        <w:tc>
          <w:tcPr>
            <w:tcW w:type="dxa" w:w="4392"/>
            <w:vAlign w:val="center"/>
            <w:tcMar>
              <w:top w:w="72" w:type="dxa"/>
              <w:start w:w="84" w:type="dxa"/>
              <w:bottom w:w="72" w:type="dxa"/>
              <w:end w:w="84" w:type="dxa"/>
            </w:tcMar>
          </w:tcPr>
          <w:p>
            <w:pPr>
              <w:spacing w:after="0"/>
            </w:pPr>
            <w:r>
              <w:rPr>
                <w:b w:val="0"/>
                <w:sz w:val="14"/>
              </w:rPr>
              <w:t>Replace it with cleared or fictional material before any tool interaction.</w:t>
            </w:r>
          </w:p>
        </w:tc>
        <w:tc>
          <w:tcPr>
            <w:tcW w:type="dxa" w:w="1440"/>
            <w:vAlign w:val="center"/>
            <w:tcMar>
              <w:top w:w="72" w:type="dxa"/>
              <w:start w:w="84" w:type="dxa"/>
              <w:bottom w:w="72" w:type="dxa"/>
              <w:end w:w="84" w:type="dxa"/>
            </w:tcMar>
          </w:tcPr>
          <w:p>
            <w:pPr>
              <w:spacing w:after="0"/>
              <w:jc w:val="center"/>
            </w:pPr>
            <w:r>
              <w:rPr>
                <w:b w:val="0"/>
                <w:sz w:val="14"/>
              </w:rPr>
              <w:t>Stop rule works</w:t>
            </w:r>
          </w:p>
        </w:tc>
      </w:tr>
      <w:tr>
        <w:trPr>
          <w:cantSplit/>
        </w:trPr>
        <w:tc>
          <w:tcPr>
            <w:tcW w:type="dxa" w:w="4392"/>
            <w:vAlign w:val="center"/>
            <w:tcMar>
              <w:top w:w="72" w:type="dxa"/>
              <w:start w:w="84" w:type="dxa"/>
              <w:bottom w:w="72" w:type="dxa"/>
              <w:end w:w="84" w:type="dxa"/>
            </w:tcMar>
            <w:shd w:fill="F4F7F8"/>
          </w:tcPr>
          <w:p>
            <w:pPr>
              <w:spacing w:after="0"/>
            </w:pPr>
            <w:r>
              <w:rPr>
                <w:b/>
                <w:sz w:val="14"/>
              </w:rPr>
              <w:t>A disability related tool changes response mode but not the target reasoning.</w:t>
            </w:r>
          </w:p>
        </w:tc>
        <w:tc>
          <w:tcPr>
            <w:tcW w:type="dxa" w:w="4392"/>
            <w:vAlign w:val="center"/>
            <w:tcMar>
              <w:top w:w="72" w:type="dxa"/>
              <w:start w:w="84" w:type="dxa"/>
              <w:bottom w:w="72" w:type="dxa"/>
              <w:end w:w="84" w:type="dxa"/>
            </w:tcMar>
            <w:shd w:fill="F4F7F8"/>
          </w:tcPr>
          <w:p>
            <w:pPr>
              <w:spacing w:after="0"/>
            </w:pPr>
            <w:r>
              <w:rPr>
                <w:b w:val="0"/>
                <w:sz w:val="14"/>
              </w:rPr>
              <w:t>Preserve the accommodation and do not classify it automatically as generative assistance.</w:t>
            </w:r>
          </w:p>
        </w:tc>
        <w:tc>
          <w:tcPr>
            <w:tcW w:type="dxa" w:w="1440"/>
            <w:vAlign w:val="center"/>
            <w:tcMar>
              <w:top w:w="72" w:type="dxa"/>
              <w:start w:w="84" w:type="dxa"/>
              <w:bottom w:w="72" w:type="dxa"/>
              <w:end w:w="84" w:type="dxa"/>
            </w:tcMar>
            <w:shd w:fill="F4F7F8"/>
          </w:tcPr>
          <w:p>
            <w:pPr>
              <w:spacing w:after="0"/>
              <w:jc w:val="center"/>
            </w:pPr>
            <w:r>
              <w:rPr>
                <w:b w:val="0"/>
                <w:sz w:val="14"/>
              </w:rPr>
              <w:t>Clarification retained</w:t>
            </w:r>
          </w:p>
        </w:tc>
      </w:tr>
      <w:tr>
        <w:trPr>
          <w:cantSplit/>
        </w:trPr>
        <w:tc>
          <w:tcPr>
            <w:tcW w:type="dxa" w:w="4392"/>
            <w:vAlign w:val="center"/>
            <w:tcMar>
              <w:top w:w="72" w:type="dxa"/>
              <w:start w:w="84" w:type="dxa"/>
              <w:bottom w:w="72" w:type="dxa"/>
              <w:end w:w="84" w:type="dxa"/>
            </w:tcMar>
          </w:tcPr>
          <w:p>
            <w:pPr>
              <w:spacing w:after="0"/>
            </w:pPr>
            <w:r>
              <w:rPr>
                <w:b/>
                <w:sz w:val="14"/>
              </w:rPr>
              <w:t>No equivalent non artificial intelligence route is available.</w:t>
            </w:r>
          </w:p>
        </w:tc>
        <w:tc>
          <w:tcPr>
            <w:tcW w:type="dxa" w:w="4392"/>
            <w:vAlign w:val="center"/>
            <w:tcMar>
              <w:top w:w="72" w:type="dxa"/>
              <w:start w:w="84" w:type="dxa"/>
              <w:bottom w:w="72" w:type="dxa"/>
              <w:end w:w="84" w:type="dxa"/>
            </w:tcMar>
          </w:tcPr>
          <w:p>
            <w:pPr>
              <w:spacing w:after="0"/>
            </w:pPr>
            <w:r>
              <w:rPr>
                <w:b w:val="0"/>
                <w:sz w:val="14"/>
              </w:rPr>
              <w:t>Do not launch the assisted condition until an equivalent route exists.</w:t>
            </w:r>
          </w:p>
        </w:tc>
        <w:tc>
          <w:tcPr>
            <w:tcW w:type="dxa" w:w="1440"/>
            <w:vAlign w:val="center"/>
            <w:tcMar>
              <w:top w:w="72" w:type="dxa"/>
              <w:start w:w="84" w:type="dxa"/>
              <w:bottom w:w="72" w:type="dxa"/>
              <w:end w:w="84" w:type="dxa"/>
            </w:tcMar>
          </w:tcPr>
          <w:p>
            <w:pPr>
              <w:spacing w:after="0"/>
              <w:jc w:val="center"/>
            </w:pPr>
            <w:r>
              <w:rPr>
                <w:b w:val="0"/>
                <w:sz w:val="14"/>
              </w:rPr>
              <w:t>Stop rule works</w:t>
            </w:r>
          </w:p>
        </w:tc>
      </w:tr>
      <w:tr>
        <w:trPr>
          <w:cantSplit/>
        </w:trPr>
        <w:tc>
          <w:tcPr>
            <w:tcW w:type="dxa" w:w="4392"/>
            <w:vAlign w:val="center"/>
            <w:tcMar>
              <w:top w:w="72" w:type="dxa"/>
              <w:start w:w="84" w:type="dxa"/>
              <w:bottom w:w="72" w:type="dxa"/>
              <w:end w:w="84" w:type="dxa"/>
            </w:tcMar>
            <w:shd w:fill="F4F7F8"/>
          </w:tcPr>
          <w:p>
            <w:pPr>
              <w:spacing w:after="0"/>
            </w:pPr>
            <w:r>
              <w:rPr>
                <w:b/>
                <w:sz w:val="14"/>
              </w:rPr>
              <w:t>The retention period or deletion owner is blank.</w:t>
            </w:r>
          </w:p>
        </w:tc>
        <w:tc>
          <w:tcPr>
            <w:tcW w:type="dxa" w:w="4392"/>
            <w:vAlign w:val="center"/>
            <w:tcMar>
              <w:top w:w="72" w:type="dxa"/>
              <w:start w:w="84" w:type="dxa"/>
              <w:bottom w:w="72" w:type="dxa"/>
              <w:end w:w="84" w:type="dxa"/>
            </w:tcMar>
            <w:shd w:fill="F4F7F8"/>
          </w:tcPr>
          <w:p>
            <w:pPr>
              <w:spacing w:after="0"/>
            </w:pPr>
            <w:r>
              <w:rPr>
                <w:b w:val="0"/>
                <w:sz w:val="14"/>
              </w:rPr>
              <w:t>Resolve the data plan before collecting any prompt, output, or identifier.</w:t>
            </w:r>
          </w:p>
        </w:tc>
        <w:tc>
          <w:tcPr>
            <w:tcW w:type="dxa" w:w="1440"/>
            <w:vAlign w:val="center"/>
            <w:tcMar>
              <w:top w:w="72" w:type="dxa"/>
              <w:start w:w="84" w:type="dxa"/>
              <w:bottom w:w="72" w:type="dxa"/>
              <w:end w:w="84" w:type="dxa"/>
            </w:tcMar>
            <w:shd w:fill="F4F7F8"/>
          </w:tcPr>
          <w:p>
            <w:pPr>
              <w:spacing w:after="0"/>
              <w:jc w:val="center"/>
            </w:pPr>
            <w:r>
              <w:rPr>
                <w:b w:val="0"/>
                <w:sz w:val="14"/>
              </w:rPr>
              <w:t>Stop rule works</w:t>
            </w:r>
          </w:p>
        </w:tc>
      </w:tr>
      <w:tr>
        <w:trPr>
          <w:cantSplit/>
        </w:trPr>
        <w:tc>
          <w:tcPr>
            <w:tcW w:type="dxa" w:w="4392"/>
            <w:vAlign w:val="center"/>
            <w:tcMar>
              <w:top w:w="72" w:type="dxa"/>
              <w:start w:w="84" w:type="dxa"/>
              <w:bottom w:w="72" w:type="dxa"/>
              <w:end w:w="84" w:type="dxa"/>
            </w:tcMar>
          </w:tcPr>
          <w:p>
            <w:pPr>
              <w:spacing w:after="0"/>
            </w:pPr>
            <w:r>
              <w:rPr>
                <w:b/>
                <w:sz w:val="14"/>
              </w:rPr>
              <w:t>The critique returns prose or outside authority.</w:t>
            </w:r>
          </w:p>
        </w:tc>
        <w:tc>
          <w:tcPr>
            <w:tcW w:type="dxa" w:w="4392"/>
            <w:vAlign w:val="center"/>
            <w:tcMar>
              <w:top w:w="72" w:type="dxa"/>
              <w:start w:w="84" w:type="dxa"/>
              <w:bottom w:w="72" w:type="dxa"/>
              <w:end w:w="84" w:type="dxa"/>
            </w:tcMar>
          </w:tcPr>
          <w:p>
            <w:pPr>
              <w:spacing w:after="0"/>
            </w:pPr>
            <w:r>
              <w:rPr>
                <w:b w:val="0"/>
                <w:sz w:val="14"/>
              </w:rPr>
              <w:t>Discard the output, record a boundary failure, and stop or rerun only under the approved rule.</w:t>
            </w:r>
          </w:p>
        </w:tc>
        <w:tc>
          <w:tcPr>
            <w:tcW w:type="dxa" w:w="1440"/>
            <w:vAlign w:val="center"/>
            <w:tcMar>
              <w:top w:w="72" w:type="dxa"/>
              <w:start w:w="84" w:type="dxa"/>
              <w:bottom w:w="72" w:type="dxa"/>
              <w:end w:w="84" w:type="dxa"/>
            </w:tcMar>
          </w:tcPr>
          <w:p>
            <w:pPr>
              <w:spacing w:after="0"/>
              <w:jc w:val="center"/>
            </w:pPr>
            <w:r>
              <w:rPr>
                <w:b w:val="0"/>
                <w:sz w:val="14"/>
              </w:rPr>
              <w:t>Failure rule added</w:t>
            </w:r>
          </w:p>
        </w:tc>
      </w:tr>
    </w:tbl>
    <w:p>
      <w:pPr>
        <w:pStyle w:val="Heading2"/>
      </w:pPr>
      <w:r>
        <w:t>Rights and interpretation</w:t>
      </w:r>
    </w:p>
    <w:p>
      <w:pPr>
        <w:pStyle w:val="ListBullet"/>
      </w:pPr>
      <w:r>
        <w:t>Participation, nonparticipation, an accommodation, or a missing response cannot be used as automatic evidence of character, ability, misconduct, or mental health.</w:t>
      </w:r>
    </w:p>
    <w:p>
      <w:pPr>
        <w:pStyle w:val="ListBullet"/>
      </w:pPr>
      <w:r>
        <w:t>A student must have the same credit, instruction, feedback, time, and opportunity under the non artificial intelligence route.</w:t>
      </w:r>
    </w:p>
    <w:p>
      <w:pPr>
        <w:pStyle w:val="ListBullet"/>
      </w:pPr>
      <w:r>
        <w:t>Small cell reporting, identity separation, access control, and deletion remain unresolved until the actual local data system is known.</w:t>
      </w:r>
    </w:p>
    <w:p>
      <w:pPr>
        <w:spacing w:before="100" w:after="40"/>
      </w:pPr>
      <w:r>
        <w:rPr>
          <w:b/>
        </w:rPr>
        <w:t xml:space="preserve">Official sources  </w:t>
      </w:r>
      <w:hyperlink r:id="rId11">
        <w:r>
          <w:rPr>
            <w:color w:val="346685"/>
            <w:u w:val="single"/>
          </w:rPr>
          <w:t>Student privacy and education technology</w:t>
        </w:r>
      </w:hyperlink>
      <w:r>
        <w:t xml:space="preserve">  |  </w:t>
      </w:r>
      <w:hyperlink r:id="rId12">
        <w:r>
          <w:rPr>
            <w:color w:val="346685"/>
            <w:u w:val="single"/>
          </w:rPr>
          <w:t>HHS research protections</w:t>
        </w:r>
      </w:hyperlink>
      <w:r>
        <w:t xml:space="preserve">  |  </w:t>
      </w:r>
      <w:hyperlink r:id="rId13">
        <w:r>
          <w:rPr>
            <w:color w:val="346685"/>
            <w:u w:val="single"/>
          </w:rPr>
          <w:t>Berkeley appropriate use guidance</w:t>
        </w:r>
      </w:hyperlink>
    </w:p>
    <w:p>
      <w:r>
        <w:br w:type="page"/>
      </w:r>
    </w:p>
    <w:p>
      <w:pPr>
        <w:pStyle w:val="Heading1"/>
      </w:pPr>
      <w:r>
        <w:t>Workload and feasibility record</w:t>
      </w:r>
    </w:p>
    <w:p>
      <w:r>
        <w:t>The estimates below are planning assumptions for a small educator tabletop review. They are not observed costs and should be replaced with local records before a pilot decision.</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3024"/>
            <w:vAlign w:val="center"/>
            <w:shd w:fill="193F58"/>
            <w:tcMar>
              <w:top w:w="72" w:type="dxa"/>
              <w:start w:w="84" w:type="dxa"/>
              <w:bottom w:w="72" w:type="dxa"/>
              <w:end w:w="84" w:type="dxa"/>
            </w:tcMar>
          </w:tcPr>
          <w:p>
            <w:pPr>
              <w:spacing w:after="0"/>
            </w:pPr>
            <w:r>
              <w:rPr>
                <w:b/>
                <w:color w:val="FFFFFF"/>
                <w:sz w:val="15"/>
              </w:rPr>
              <w:t>Activity</w:t>
            </w:r>
          </w:p>
        </w:tc>
        <w:tc>
          <w:tcPr>
            <w:tcW w:type="dxa" w:w="1800"/>
            <w:vAlign w:val="center"/>
            <w:shd w:fill="193F58"/>
            <w:tcMar>
              <w:top w:w="72" w:type="dxa"/>
              <w:start w:w="84" w:type="dxa"/>
              <w:bottom w:w="72" w:type="dxa"/>
              <w:end w:w="84" w:type="dxa"/>
            </w:tcMar>
          </w:tcPr>
          <w:p>
            <w:pPr>
              <w:spacing w:after="0"/>
            </w:pPr>
            <w:r>
              <w:rPr>
                <w:b/>
                <w:color w:val="FFFFFF"/>
                <w:sz w:val="15"/>
              </w:rPr>
              <w:t>Planning range</w:t>
            </w:r>
          </w:p>
        </w:tc>
        <w:tc>
          <w:tcPr>
            <w:tcW w:type="dxa" w:w="2232"/>
            <w:vAlign w:val="center"/>
            <w:shd w:fill="193F58"/>
            <w:tcMar>
              <w:top w:w="72" w:type="dxa"/>
              <w:start w:w="84" w:type="dxa"/>
              <w:bottom w:w="72" w:type="dxa"/>
              <w:end w:w="84" w:type="dxa"/>
            </w:tcMar>
          </w:tcPr>
          <w:p>
            <w:pPr>
              <w:spacing w:after="0"/>
            </w:pPr>
            <w:r>
              <w:rPr>
                <w:b/>
                <w:color w:val="FFFFFF"/>
                <w:sz w:val="15"/>
              </w:rPr>
              <w:t>Owner to record</w:t>
            </w:r>
          </w:p>
        </w:tc>
        <w:tc>
          <w:tcPr>
            <w:tcW w:type="dxa" w:w="3168"/>
            <w:vAlign w:val="center"/>
            <w:shd w:fill="193F58"/>
            <w:tcMar>
              <w:top w:w="72" w:type="dxa"/>
              <w:start w:w="84" w:type="dxa"/>
              <w:bottom w:w="72" w:type="dxa"/>
              <w:end w:w="84" w:type="dxa"/>
            </w:tcMar>
          </w:tcPr>
          <w:p>
            <w:pPr>
              <w:spacing w:after="0"/>
            </w:pPr>
            <w:r>
              <w:rPr>
                <w:b/>
                <w:color w:val="FFFFFF"/>
                <w:sz w:val="15"/>
              </w:rPr>
              <w:t>What could displace ordinary work</w:t>
            </w:r>
          </w:p>
        </w:tc>
      </w:tr>
      <w:tr>
        <w:trPr>
          <w:cantSplit/>
        </w:trPr>
        <w:tc>
          <w:tcPr>
            <w:tcW w:type="dxa" w:w="3024"/>
            <w:vAlign w:val="center"/>
            <w:tcMar>
              <w:top w:w="72" w:type="dxa"/>
              <w:start w:w="84" w:type="dxa"/>
              <w:bottom w:w="72" w:type="dxa"/>
              <w:end w:w="84" w:type="dxa"/>
            </w:tcMar>
          </w:tcPr>
          <w:p>
            <w:pPr>
              <w:spacing w:after="0"/>
            </w:pPr>
            <w:r>
              <w:rPr>
                <w:b/>
                <w:sz w:val="15"/>
              </w:rPr>
              <w:t>Select and align equivalent tasks</w:t>
            </w:r>
          </w:p>
        </w:tc>
        <w:tc>
          <w:tcPr>
            <w:tcW w:type="dxa" w:w="1800"/>
            <w:vAlign w:val="center"/>
            <w:tcMar>
              <w:top w:w="72" w:type="dxa"/>
              <w:start w:w="84" w:type="dxa"/>
              <w:bottom w:w="72" w:type="dxa"/>
              <w:end w:w="84" w:type="dxa"/>
            </w:tcMar>
          </w:tcPr>
          <w:p>
            <w:pPr>
              <w:spacing w:after="0"/>
            </w:pPr>
            <w:r>
              <w:rPr>
                <w:b w:val="0"/>
                <w:sz w:val="15"/>
              </w:rPr>
              <w:t>90 to 150 minutes</w:t>
            </w:r>
          </w:p>
        </w:tc>
        <w:tc>
          <w:tcPr>
            <w:tcW w:type="dxa" w:w="2232"/>
            <w:vAlign w:val="center"/>
            <w:tcMar>
              <w:top w:w="72" w:type="dxa"/>
              <w:start w:w="84" w:type="dxa"/>
              <w:bottom w:w="72" w:type="dxa"/>
              <w:end w:w="84" w:type="dxa"/>
            </w:tcMar>
          </w:tcPr>
          <w:p>
            <w:pPr>
              <w:spacing w:after="0"/>
            </w:pPr>
            <w:r>
              <w:rPr>
                <w:b w:val="0"/>
                <w:sz w:val="15"/>
              </w:rPr>
              <w:t>Course educator</w:t>
            </w:r>
          </w:p>
        </w:tc>
        <w:tc>
          <w:tcPr>
            <w:tcW w:type="dxa" w:w="3168"/>
            <w:vAlign w:val="center"/>
            <w:tcMar>
              <w:top w:w="72" w:type="dxa"/>
              <w:start w:w="84" w:type="dxa"/>
              <w:bottom w:w="72" w:type="dxa"/>
              <w:end w:w="84" w:type="dxa"/>
            </w:tcMar>
          </w:tcPr>
          <w:p>
            <w:pPr>
              <w:spacing w:after="0"/>
            </w:pPr>
            <w:r>
              <w:rPr>
                <w:b w:val="0"/>
                <w:sz w:val="15"/>
              </w:rPr>
              <w:t>Lesson or assessment preparation</w:t>
            </w:r>
          </w:p>
        </w:tc>
      </w:tr>
      <w:tr>
        <w:trPr>
          <w:cantSplit/>
        </w:trPr>
        <w:tc>
          <w:tcPr>
            <w:tcW w:type="dxa" w:w="3024"/>
            <w:vAlign w:val="center"/>
            <w:tcMar>
              <w:top w:w="72" w:type="dxa"/>
              <w:start w:w="84" w:type="dxa"/>
              <w:bottom w:w="72" w:type="dxa"/>
              <w:end w:w="84" w:type="dxa"/>
            </w:tcMar>
            <w:shd w:fill="F4F7F8"/>
          </w:tcPr>
          <w:p>
            <w:pPr>
              <w:spacing w:after="0"/>
            </w:pPr>
            <w:r>
              <w:rPr>
                <w:b/>
                <w:sz w:val="15"/>
              </w:rPr>
              <w:t>Prepare synthetic or cleared materials</w:t>
            </w:r>
          </w:p>
        </w:tc>
        <w:tc>
          <w:tcPr>
            <w:tcW w:type="dxa" w:w="1800"/>
            <w:vAlign w:val="center"/>
            <w:tcMar>
              <w:top w:w="72" w:type="dxa"/>
              <w:start w:w="84" w:type="dxa"/>
              <w:bottom w:w="72" w:type="dxa"/>
              <w:end w:w="84" w:type="dxa"/>
            </w:tcMar>
            <w:shd w:fill="F4F7F8"/>
          </w:tcPr>
          <w:p>
            <w:pPr>
              <w:spacing w:after="0"/>
            </w:pPr>
            <w:r>
              <w:rPr>
                <w:b w:val="0"/>
                <w:sz w:val="15"/>
              </w:rPr>
              <w:t>60 to 120 minutes</w:t>
            </w:r>
          </w:p>
        </w:tc>
        <w:tc>
          <w:tcPr>
            <w:tcW w:type="dxa" w:w="2232"/>
            <w:vAlign w:val="center"/>
            <w:tcMar>
              <w:top w:w="72" w:type="dxa"/>
              <w:start w:w="84" w:type="dxa"/>
              <w:bottom w:w="72" w:type="dxa"/>
              <w:end w:w="84" w:type="dxa"/>
            </w:tcMar>
            <w:shd w:fill="F4F7F8"/>
          </w:tcPr>
          <w:p>
            <w:pPr>
              <w:spacing w:after="0"/>
            </w:pPr>
            <w:r>
              <w:rPr>
                <w:b w:val="0"/>
                <w:sz w:val="15"/>
              </w:rPr>
              <w:t>Educator and reviewer</w:t>
            </w:r>
          </w:p>
        </w:tc>
        <w:tc>
          <w:tcPr>
            <w:tcW w:type="dxa" w:w="3168"/>
            <w:vAlign w:val="center"/>
            <w:tcMar>
              <w:top w:w="72" w:type="dxa"/>
              <w:start w:w="84" w:type="dxa"/>
              <w:bottom w:w="72" w:type="dxa"/>
              <w:end w:w="84" w:type="dxa"/>
            </w:tcMar>
            <w:shd w:fill="F4F7F8"/>
          </w:tcPr>
          <w:p>
            <w:pPr>
              <w:spacing w:after="0"/>
            </w:pPr>
            <w:r>
              <w:rPr>
                <w:b w:val="0"/>
                <w:sz w:val="15"/>
              </w:rPr>
              <w:t>Course material review</w:t>
            </w:r>
          </w:p>
        </w:tc>
      </w:tr>
      <w:tr>
        <w:trPr>
          <w:cantSplit/>
        </w:trPr>
        <w:tc>
          <w:tcPr>
            <w:tcW w:type="dxa" w:w="3024"/>
            <w:vAlign w:val="center"/>
            <w:tcMar>
              <w:top w:w="72" w:type="dxa"/>
              <w:start w:w="84" w:type="dxa"/>
              <w:bottom w:w="72" w:type="dxa"/>
              <w:end w:w="84" w:type="dxa"/>
            </w:tcMar>
          </w:tcPr>
          <w:p>
            <w:pPr>
              <w:spacing w:after="0"/>
            </w:pPr>
            <w:r>
              <w:rPr>
                <w:b/>
                <w:sz w:val="15"/>
              </w:rPr>
              <w:t>Train and calibrate two raters</w:t>
            </w:r>
          </w:p>
        </w:tc>
        <w:tc>
          <w:tcPr>
            <w:tcW w:type="dxa" w:w="1800"/>
            <w:vAlign w:val="center"/>
            <w:tcMar>
              <w:top w:w="72" w:type="dxa"/>
              <w:start w:w="84" w:type="dxa"/>
              <w:bottom w:w="72" w:type="dxa"/>
              <w:end w:w="84" w:type="dxa"/>
            </w:tcMar>
          </w:tcPr>
          <w:p>
            <w:pPr>
              <w:spacing w:after="0"/>
            </w:pPr>
            <w:r>
              <w:rPr>
                <w:b w:val="0"/>
                <w:sz w:val="15"/>
              </w:rPr>
              <w:t>60 to 90 minutes</w:t>
            </w:r>
          </w:p>
        </w:tc>
        <w:tc>
          <w:tcPr>
            <w:tcW w:type="dxa" w:w="2232"/>
            <w:vAlign w:val="center"/>
            <w:tcMar>
              <w:top w:w="72" w:type="dxa"/>
              <w:start w:w="84" w:type="dxa"/>
              <w:bottom w:w="72" w:type="dxa"/>
              <w:end w:w="84" w:type="dxa"/>
            </w:tcMar>
          </w:tcPr>
          <w:p>
            <w:pPr>
              <w:spacing w:after="0"/>
            </w:pPr>
            <w:r>
              <w:rPr>
                <w:b w:val="0"/>
                <w:sz w:val="15"/>
              </w:rPr>
              <w:t>Calibration lead</w:t>
            </w:r>
          </w:p>
        </w:tc>
        <w:tc>
          <w:tcPr>
            <w:tcW w:type="dxa" w:w="3168"/>
            <w:vAlign w:val="center"/>
            <w:tcMar>
              <w:top w:w="72" w:type="dxa"/>
              <w:start w:w="84" w:type="dxa"/>
              <w:bottom w:w="72" w:type="dxa"/>
              <w:end w:w="84" w:type="dxa"/>
            </w:tcMar>
          </w:tcPr>
          <w:p>
            <w:pPr>
              <w:spacing w:after="0"/>
            </w:pPr>
            <w:r>
              <w:rPr>
                <w:b w:val="0"/>
                <w:sz w:val="15"/>
              </w:rPr>
              <w:t>Feedback or grading time</w:t>
            </w:r>
          </w:p>
        </w:tc>
      </w:tr>
      <w:tr>
        <w:trPr>
          <w:cantSplit/>
        </w:trPr>
        <w:tc>
          <w:tcPr>
            <w:tcW w:type="dxa" w:w="3024"/>
            <w:vAlign w:val="center"/>
            <w:tcMar>
              <w:top w:w="72" w:type="dxa"/>
              <w:start w:w="84" w:type="dxa"/>
              <w:bottom w:w="72" w:type="dxa"/>
              <w:end w:w="84" w:type="dxa"/>
            </w:tcMar>
            <w:shd w:fill="F4F7F8"/>
          </w:tcPr>
          <w:p>
            <w:pPr>
              <w:spacing w:after="0"/>
            </w:pPr>
            <w:r>
              <w:rPr>
                <w:b/>
                <w:sz w:val="15"/>
              </w:rPr>
              <w:t>Score one written chain</w:t>
            </w:r>
          </w:p>
        </w:tc>
        <w:tc>
          <w:tcPr>
            <w:tcW w:type="dxa" w:w="1800"/>
            <w:vAlign w:val="center"/>
            <w:tcMar>
              <w:top w:w="72" w:type="dxa"/>
              <w:start w:w="84" w:type="dxa"/>
              <w:bottom w:w="72" w:type="dxa"/>
              <w:end w:w="84" w:type="dxa"/>
            </w:tcMar>
            <w:shd w:fill="F4F7F8"/>
          </w:tcPr>
          <w:p>
            <w:pPr>
              <w:spacing w:after="0"/>
            </w:pPr>
            <w:r>
              <w:rPr>
                <w:b w:val="0"/>
                <w:sz w:val="15"/>
              </w:rPr>
              <w:t>20 to 35 minutes</w:t>
            </w:r>
          </w:p>
        </w:tc>
        <w:tc>
          <w:tcPr>
            <w:tcW w:type="dxa" w:w="2232"/>
            <w:vAlign w:val="center"/>
            <w:tcMar>
              <w:top w:w="72" w:type="dxa"/>
              <w:start w:w="84" w:type="dxa"/>
              <w:bottom w:w="72" w:type="dxa"/>
              <w:end w:w="84" w:type="dxa"/>
            </w:tcMar>
            <w:shd w:fill="F4F7F8"/>
          </w:tcPr>
          <w:p>
            <w:pPr>
              <w:spacing w:after="0"/>
            </w:pPr>
            <w:r>
              <w:rPr>
                <w:b w:val="0"/>
                <w:sz w:val="15"/>
              </w:rPr>
              <w:t>Each rater</w:t>
            </w:r>
          </w:p>
        </w:tc>
        <w:tc>
          <w:tcPr>
            <w:tcW w:type="dxa" w:w="3168"/>
            <w:vAlign w:val="center"/>
            <w:tcMar>
              <w:top w:w="72" w:type="dxa"/>
              <w:start w:w="84" w:type="dxa"/>
              <w:bottom w:w="72" w:type="dxa"/>
              <w:end w:w="84" w:type="dxa"/>
            </w:tcMar>
            <w:shd w:fill="F4F7F8"/>
          </w:tcPr>
          <w:p>
            <w:pPr>
              <w:spacing w:after="0"/>
            </w:pPr>
            <w:r>
              <w:rPr>
                <w:b w:val="0"/>
                <w:sz w:val="15"/>
              </w:rPr>
              <w:t>Student feedback time</w:t>
            </w:r>
          </w:p>
        </w:tc>
      </w:tr>
      <w:tr>
        <w:trPr>
          <w:cantSplit/>
        </w:trPr>
        <w:tc>
          <w:tcPr>
            <w:tcW w:type="dxa" w:w="3024"/>
            <w:vAlign w:val="center"/>
            <w:tcMar>
              <w:top w:w="72" w:type="dxa"/>
              <w:start w:w="84" w:type="dxa"/>
              <w:bottom w:w="72" w:type="dxa"/>
              <w:end w:w="84" w:type="dxa"/>
            </w:tcMar>
          </w:tcPr>
          <w:p>
            <w:pPr>
              <w:spacing w:after="0"/>
            </w:pPr>
            <w:r>
              <w:rPr>
                <w:b/>
                <w:sz w:val="15"/>
              </w:rPr>
              <w:t>Administer one oral check</w:t>
            </w:r>
          </w:p>
        </w:tc>
        <w:tc>
          <w:tcPr>
            <w:tcW w:type="dxa" w:w="1800"/>
            <w:vAlign w:val="center"/>
            <w:tcMar>
              <w:top w:w="72" w:type="dxa"/>
              <w:start w:w="84" w:type="dxa"/>
              <w:bottom w:w="72" w:type="dxa"/>
              <w:end w:w="84" w:type="dxa"/>
            </w:tcMar>
          </w:tcPr>
          <w:p>
            <w:pPr>
              <w:spacing w:after="0"/>
            </w:pPr>
            <w:r>
              <w:rPr>
                <w:b w:val="0"/>
                <w:sz w:val="15"/>
              </w:rPr>
              <w:t>5 to 10 minutes</w:t>
            </w:r>
          </w:p>
        </w:tc>
        <w:tc>
          <w:tcPr>
            <w:tcW w:type="dxa" w:w="2232"/>
            <w:vAlign w:val="center"/>
            <w:tcMar>
              <w:top w:w="72" w:type="dxa"/>
              <w:start w:w="84" w:type="dxa"/>
              <w:bottom w:w="72" w:type="dxa"/>
              <w:end w:w="84" w:type="dxa"/>
            </w:tcMar>
          </w:tcPr>
          <w:p>
            <w:pPr>
              <w:spacing w:after="0"/>
            </w:pPr>
            <w:r>
              <w:rPr>
                <w:b w:val="0"/>
                <w:sz w:val="15"/>
              </w:rPr>
              <w:t>Educator</w:t>
            </w:r>
          </w:p>
        </w:tc>
        <w:tc>
          <w:tcPr>
            <w:tcW w:type="dxa" w:w="3168"/>
            <w:vAlign w:val="center"/>
            <w:tcMar>
              <w:top w:w="72" w:type="dxa"/>
              <w:start w:w="84" w:type="dxa"/>
              <w:bottom w:w="72" w:type="dxa"/>
              <w:end w:w="84" w:type="dxa"/>
            </w:tcMar>
          </w:tcPr>
          <w:p>
            <w:pPr>
              <w:spacing w:after="0"/>
            </w:pPr>
            <w:r>
              <w:rPr>
                <w:b w:val="0"/>
                <w:sz w:val="15"/>
              </w:rPr>
              <w:t>Conference or tutorial time</w:t>
            </w:r>
          </w:p>
        </w:tc>
      </w:tr>
      <w:tr>
        <w:trPr>
          <w:cantSplit/>
        </w:trPr>
        <w:tc>
          <w:tcPr>
            <w:tcW w:type="dxa" w:w="3024"/>
            <w:vAlign w:val="center"/>
            <w:tcMar>
              <w:top w:w="72" w:type="dxa"/>
              <w:start w:w="84" w:type="dxa"/>
              <w:bottom w:w="72" w:type="dxa"/>
              <w:end w:w="84" w:type="dxa"/>
            </w:tcMar>
            <w:shd w:fill="F4F7F8"/>
          </w:tcPr>
          <w:p>
            <w:pPr>
              <w:spacing w:after="0"/>
            </w:pPr>
            <w:r>
              <w:rPr>
                <w:b/>
                <w:sz w:val="15"/>
              </w:rPr>
              <w:t>Review prompt and output record</w:t>
            </w:r>
          </w:p>
        </w:tc>
        <w:tc>
          <w:tcPr>
            <w:tcW w:type="dxa" w:w="1800"/>
            <w:vAlign w:val="center"/>
            <w:tcMar>
              <w:top w:w="72" w:type="dxa"/>
              <w:start w:w="84" w:type="dxa"/>
              <w:bottom w:w="72" w:type="dxa"/>
              <w:end w:w="84" w:type="dxa"/>
            </w:tcMar>
            <w:shd w:fill="F4F7F8"/>
          </w:tcPr>
          <w:p>
            <w:pPr>
              <w:spacing w:after="0"/>
            </w:pPr>
            <w:r>
              <w:rPr>
                <w:b w:val="0"/>
                <w:sz w:val="15"/>
              </w:rPr>
              <w:t>10 to 20 minutes</w:t>
            </w:r>
          </w:p>
        </w:tc>
        <w:tc>
          <w:tcPr>
            <w:tcW w:type="dxa" w:w="2232"/>
            <w:vAlign w:val="center"/>
            <w:tcMar>
              <w:top w:w="72" w:type="dxa"/>
              <w:start w:w="84" w:type="dxa"/>
              <w:bottom w:w="72" w:type="dxa"/>
              <w:end w:w="84" w:type="dxa"/>
            </w:tcMar>
            <w:shd w:fill="F4F7F8"/>
          </w:tcPr>
          <w:p>
            <w:pPr>
              <w:spacing w:after="0"/>
            </w:pPr>
            <w:r>
              <w:rPr>
                <w:b w:val="0"/>
                <w:sz w:val="15"/>
              </w:rPr>
              <w:t>Data steward or educator</w:t>
            </w:r>
          </w:p>
        </w:tc>
        <w:tc>
          <w:tcPr>
            <w:tcW w:type="dxa" w:w="3168"/>
            <w:vAlign w:val="center"/>
            <w:tcMar>
              <w:top w:w="72" w:type="dxa"/>
              <w:start w:w="84" w:type="dxa"/>
              <w:bottom w:w="72" w:type="dxa"/>
              <w:end w:w="84" w:type="dxa"/>
            </w:tcMar>
            <w:shd w:fill="F4F7F8"/>
          </w:tcPr>
          <w:p>
            <w:pPr>
              <w:spacing w:after="0"/>
            </w:pPr>
            <w:r>
              <w:rPr>
                <w:b w:val="0"/>
                <w:sz w:val="15"/>
              </w:rPr>
              <w:t>Instructional preparation</w:t>
            </w:r>
          </w:p>
        </w:tc>
      </w:tr>
      <w:tr>
        <w:trPr>
          <w:cantSplit/>
        </w:trPr>
        <w:tc>
          <w:tcPr>
            <w:tcW w:type="dxa" w:w="3024"/>
            <w:vAlign w:val="center"/>
            <w:tcMar>
              <w:top w:w="72" w:type="dxa"/>
              <w:start w:w="84" w:type="dxa"/>
              <w:bottom w:w="72" w:type="dxa"/>
              <w:end w:w="84" w:type="dxa"/>
            </w:tcMar>
          </w:tcPr>
          <w:p>
            <w:pPr>
              <w:spacing w:after="0"/>
            </w:pPr>
            <w:r>
              <w:rPr>
                <w:b/>
                <w:sz w:val="15"/>
              </w:rPr>
              <w:t>Adjudicate one disputed record</w:t>
            </w:r>
          </w:p>
        </w:tc>
        <w:tc>
          <w:tcPr>
            <w:tcW w:type="dxa" w:w="1800"/>
            <w:vAlign w:val="center"/>
            <w:tcMar>
              <w:top w:w="72" w:type="dxa"/>
              <w:start w:w="84" w:type="dxa"/>
              <w:bottom w:w="72" w:type="dxa"/>
              <w:end w:w="84" w:type="dxa"/>
            </w:tcMar>
          </w:tcPr>
          <w:p>
            <w:pPr>
              <w:spacing w:after="0"/>
            </w:pPr>
            <w:r>
              <w:rPr>
                <w:b w:val="0"/>
                <w:sz w:val="15"/>
              </w:rPr>
              <w:t>10 to 20 minutes</w:t>
            </w:r>
          </w:p>
        </w:tc>
        <w:tc>
          <w:tcPr>
            <w:tcW w:type="dxa" w:w="2232"/>
            <w:vAlign w:val="center"/>
            <w:tcMar>
              <w:top w:w="72" w:type="dxa"/>
              <w:start w:w="84" w:type="dxa"/>
              <w:bottom w:w="72" w:type="dxa"/>
              <w:end w:w="84" w:type="dxa"/>
            </w:tcMar>
          </w:tcPr>
          <w:p>
            <w:pPr>
              <w:spacing w:after="0"/>
            </w:pPr>
            <w:r>
              <w:rPr>
                <w:b w:val="0"/>
                <w:sz w:val="15"/>
              </w:rPr>
              <w:t>Two raters</w:t>
            </w:r>
          </w:p>
        </w:tc>
        <w:tc>
          <w:tcPr>
            <w:tcW w:type="dxa" w:w="3168"/>
            <w:vAlign w:val="center"/>
            <w:tcMar>
              <w:top w:w="72" w:type="dxa"/>
              <w:start w:w="84" w:type="dxa"/>
              <w:bottom w:w="72" w:type="dxa"/>
              <w:end w:w="84" w:type="dxa"/>
            </w:tcMar>
          </w:tcPr>
          <w:p>
            <w:pPr>
              <w:spacing w:after="0"/>
            </w:pPr>
            <w:r>
              <w:rPr>
                <w:b w:val="0"/>
                <w:sz w:val="15"/>
              </w:rPr>
              <w:t>Other evaluation work</w:t>
            </w:r>
          </w:p>
        </w:tc>
      </w:tr>
      <w:tr>
        <w:trPr>
          <w:cantSplit/>
        </w:trPr>
        <w:tc>
          <w:tcPr>
            <w:tcW w:type="dxa" w:w="3024"/>
            <w:vAlign w:val="center"/>
            <w:tcMar>
              <w:top w:w="72" w:type="dxa"/>
              <w:start w:w="84" w:type="dxa"/>
              <w:bottom w:w="72" w:type="dxa"/>
              <w:end w:w="84" w:type="dxa"/>
            </w:tcMar>
            <w:shd w:fill="F4F7F8"/>
          </w:tcPr>
          <w:p>
            <w:pPr>
              <w:spacing w:after="0"/>
            </w:pPr>
            <w:r>
              <w:rPr>
                <w:b/>
                <w:sz w:val="15"/>
              </w:rPr>
              <w:t>Complete C3 and C4 follow up</w:t>
            </w:r>
          </w:p>
        </w:tc>
        <w:tc>
          <w:tcPr>
            <w:tcW w:type="dxa" w:w="1800"/>
            <w:vAlign w:val="center"/>
            <w:tcMar>
              <w:top w:w="72" w:type="dxa"/>
              <w:start w:w="84" w:type="dxa"/>
              <w:bottom w:w="72" w:type="dxa"/>
              <w:end w:w="84" w:type="dxa"/>
            </w:tcMar>
            <w:shd w:fill="F4F7F8"/>
          </w:tcPr>
          <w:p>
            <w:pPr>
              <w:spacing w:after="0"/>
            </w:pPr>
            <w:r>
              <w:rPr>
                <w:b w:val="0"/>
                <w:sz w:val="15"/>
              </w:rPr>
              <w:t>20 to 40 minutes</w:t>
            </w:r>
          </w:p>
        </w:tc>
        <w:tc>
          <w:tcPr>
            <w:tcW w:type="dxa" w:w="2232"/>
            <w:vAlign w:val="center"/>
            <w:tcMar>
              <w:top w:w="72" w:type="dxa"/>
              <w:start w:w="84" w:type="dxa"/>
              <w:bottom w:w="72" w:type="dxa"/>
              <w:end w:w="84" w:type="dxa"/>
            </w:tcMar>
            <w:shd w:fill="F4F7F8"/>
          </w:tcPr>
          <w:p>
            <w:pPr>
              <w:spacing w:after="0"/>
            </w:pPr>
            <w:r>
              <w:rPr>
                <w:b w:val="0"/>
                <w:sz w:val="15"/>
              </w:rPr>
              <w:t>Educator and student</w:t>
            </w:r>
          </w:p>
        </w:tc>
        <w:tc>
          <w:tcPr>
            <w:tcW w:type="dxa" w:w="3168"/>
            <w:vAlign w:val="center"/>
            <w:tcMar>
              <w:top w:w="72" w:type="dxa"/>
              <w:start w:w="84" w:type="dxa"/>
              <w:bottom w:w="72" w:type="dxa"/>
              <w:end w:w="84" w:type="dxa"/>
            </w:tcMar>
            <w:shd w:fill="F4F7F8"/>
          </w:tcPr>
          <w:p>
            <w:pPr>
              <w:spacing w:after="0"/>
            </w:pPr>
            <w:r>
              <w:rPr>
                <w:b w:val="0"/>
                <w:sz w:val="15"/>
              </w:rPr>
              <w:t>Later course activity</w:t>
            </w:r>
          </w:p>
        </w:tc>
      </w:tr>
    </w:tbl>
    <w:p>
      <w:pPr>
        <w:pStyle w:val="Heading2"/>
      </w:pPr>
      <w:r>
        <w:t>Feasibility questions</w:t>
      </w:r>
    </w:p>
    <w:p>
      <w:pPr>
        <w:ind w:left="346" w:hanging="346"/>
      </w:pPr>
      <w:r>
        <w:t>1.  Which ordinary course task will replace rather than add to the proposed performance check?</w:t>
      </w:r>
    </w:p>
    <w:p>
      <w:pPr>
        <w:ind w:left="346" w:hanging="346"/>
      </w:pPr>
      <w:r>
        <w:t>2.  Who can conduct oral checks and second scoring without reducing normal student support?</w:t>
      </w:r>
    </w:p>
    <w:p>
      <w:pPr>
        <w:ind w:left="346" w:hanging="346"/>
      </w:pPr>
      <w:r>
        <w:t>3.  Can C3 and C4 occur without advance rehearsal, selective attrition, or unequal access to preparation?</w:t>
      </w:r>
    </w:p>
    <w:p>
      <w:pPr>
        <w:ind w:left="346" w:hanging="346"/>
      </w:pPr>
      <w:r>
        <w:t>4.  Can the institution preserve a non artificial intelligence route with equivalent opportunity and credit?</w:t>
      </w:r>
    </w:p>
    <w:p>
      <w:pPr>
        <w:ind w:left="346" w:hanging="346"/>
      </w:pPr>
      <w:r>
        <w:t>5.  Which records are essential, who may access them, and when will each be deleted?</w:t>
      </w:r>
    </w:p>
    <w:p>
      <w:r>
        <w:br w:type="page"/>
      </w:r>
    </w:p>
    <w:p>
      <w:pPr>
        <w:pStyle w:val="Heading1"/>
      </w:pPr>
      <w:r>
        <w:t>Required revisions to the Phase Twelve packets</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448"/>
            <w:vAlign w:val="center"/>
            <w:shd w:fill="193F58"/>
            <w:tcMar>
              <w:top w:w="72" w:type="dxa"/>
              <w:start w:w="84" w:type="dxa"/>
              <w:bottom w:w="72" w:type="dxa"/>
              <w:end w:w="84" w:type="dxa"/>
            </w:tcMar>
          </w:tcPr>
          <w:p>
            <w:pPr>
              <w:spacing w:after="0"/>
            </w:pPr>
            <w:r>
              <w:rPr>
                <w:b/>
                <w:color w:val="FFFFFF"/>
                <w:sz w:val="14"/>
              </w:rPr>
              <w:t>Revision</w:t>
            </w:r>
          </w:p>
        </w:tc>
        <w:tc>
          <w:tcPr>
            <w:tcW w:type="dxa" w:w="1080"/>
            <w:vAlign w:val="center"/>
            <w:shd w:fill="193F58"/>
            <w:tcMar>
              <w:top w:w="72" w:type="dxa"/>
              <w:start w:w="84" w:type="dxa"/>
              <w:bottom w:w="72" w:type="dxa"/>
              <w:end w:w="84" w:type="dxa"/>
            </w:tcMar>
          </w:tcPr>
          <w:p>
            <w:pPr>
              <w:spacing w:after="0"/>
            </w:pPr>
            <w:r>
              <w:rPr>
                <w:b/>
                <w:color w:val="FFFFFF"/>
                <w:sz w:val="14"/>
              </w:rPr>
              <w:t>Packet</w:t>
            </w:r>
          </w:p>
        </w:tc>
        <w:tc>
          <w:tcPr>
            <w:tcW w:type="dxa" w:w="6696"/>
            <w:vAlign w:val="center"/>
            <w:shd w:fill="193F58"/>
            <w:tcMar>
              <w:top w:w="72" w:type="dxa"/>
              <w:start w:w="84" w:type="dxa"/>
              <w:bottom w:w="72" w:type="dxa"/>
              <w:end w:w="84" w:type="dxa"/>
            </w:tcMar>
          </w:tcPr>
          <w:p>
            <w:pPr>
              <w:spacing w:after="0"/>
            </w:pPr>
            <w:r>
              <w:rPr>
                <w:b/>
                <w:color w:val="FFFFFF"/>
                <w:sz w:val="14"/>
              </w:rPr>
              <w:t>Replacement rule</w:t>
            </w:r>
          </w:p>
        </w:tc>
      </w:tr>
      <w:tr>
        <w:trPr>
          <w:cantSplit/>
        </w:trPr>
        <w:tc>
          <w:tcPr>
            <w:tcW w:type="dxa" w:w="2448"/>
            <w:vAlign w:val="center"/>
            <w:tcMar>
              <w:top w:w="72" w:type="dxa"/>
              <w:start w:w="84" w:type="dxa"/>
              <w:bottom w:w="72" w:type="dxa"/>
              <w:end w:w="84" w:type="dxa"/>
            </w:tcMar>
          </w:tcPr>
          <w:p>
            <w:pPr>
              <w:spacing w:after="0"/>
            </w:pPr>
            <w:r>
              <w:rPr>
                <w:b/>
                <w:sz w:val="14"/>
              </w:rPr>
              <w:t>Freeze human first work</w:t>
            </w:r>
          </w:p>
        </w:tc>
        <w:tc>
          <w:tcPr>
            <w:tcW w:type="dxa" w:w="1080"/>
            <w:vAlign w:val="center"/>
            <w:tcMar>
              <w:top w:w="72" w:type="dxa"/>
              <w:start w:w="84" w:type="dxa"/>
              <w:bottom w:w="72" w:type="dxa"/>
              <w:end w:w="84" w:type="dxa"/>
            </w:tcMar>
          </w:tcPr>
          <w:p>
            <w:pPr>
              <w:spacing w:after="0"/>
              <w:jc w:val="center"/>
            </w:pPr>
            <w:r>
              <w:rPr>
                <w:b w:val="0"/>
                <w:sz w:val="14"/>
              </w:rPr>
              <w:t>B</w:t>
            </w:r>
          </w:p>
        </w:tc>
        <w:tc>
          <w:tcPr>
            <w:tcW w:type="dxa" w:w="6696"/>
            <w:vAlign w:val="center"/>
            <w:tcMar>
              <w:top w:w="72" w:type="dxa"/>
              <w:start w:w="84" w:type="dxa"/>
              <w:bottom w:w="72" w:type="dxa"/>
              <w:end w:w="84" w:type="dxa"/>
            </w:tcMar>
          </w:tcPr>
          <w:p>
            <w:pPr>
              <w:spacing w:after="0"/>
            </w:pPr>
            <w:r>
              <w:rPr>
                <w:b w:val="0"/>
                <w:sz w:val="14"/>
              </w:rPr>
              <w:t>Store the pre critique response, time, word count, and file identifier before tool access.</w:t>
            </w:r>
          </w:p>
        </w:tc>
      </w:tr>
      <w:tr>
        <w:trPr>
          <w:cantSplit/>
        </w:trPr>
        <w:tc>
          <w:tcPr>
            <w:tcW w:type="dxa" w:w="2448"/>
            <w:vAlign w:val="center"/>
            <w:tcMar>
              <w:top w:w="72" w:type="dxa"/>
              <w:start w:w="84" w:type="dxa"/>
              <w:bottom w:w="72" w:type="dxa"/>
              <w:end w:w="84" w:type="dxa"/>
            </w:tcMar>
            <w:shd w:fill="F4F7F8"/>
          </w:tcPr>
          <w:p>
            <w:pPr>
              <w:spacing w:after="0"/>
            </w:pPr>
            <w:r>
              <w:rPr>
                <w:b/>
                <w:sz w:val="14"/>
              </w:rPr>
              <w:t>Register task equivalence</w:t>
            </w:r>
          </w:p>
        </w:tc>
        <w:tc>
          <w:tcPr>
            <w:tcW w:type="dxa" w:w="1080"/>
            <w:vAlign w:val="center"/>
            <w:tcMar>
              <w:top w:w="72" w:type="dxa"/>
              <w:start w:w="84" w:type="dxa"/>
              <w:bottom w:w="72" w:type="dxa"/>
              <w:end w:w="84" w:type="dxa"/>
            </w:tcMar>
            <w:shd w:fill="F4F7F8"/>
          </w:tcPr>
          <w:p>
            <w:pPr>
              <w:spacing w:after="0"/>
              <w:jc w:val="center"/>
            </w:pPr>
            <w:r>
              <w:rPr>
                <w:b w:val="0"/>
                <w:sz w:val="14"/>
              </w:rPr>
              <w:t>A and B</w:t>
            </w:r>
          </w:p>
        </w:tc>
        <w:tc>
          <w:tcPr>
            <w:tcW w:type="dxa" w:w="6696"/>
            <w:vAlign w:val="center"/>
            <w:tcMar>
              <w:top w:w="72" w:type="dxa"/>
              <w:start w:w="84" w:type="dxa"/>
              <w:bottom w:w="72" w:type="dxa"/>
              <w:end w:w="84" w:type="dxa"/>
            </w:tcMar>
            <w:shd w:fill="F4F7F8"/>
          </w:tcPr>
          <w:p>
            <w:pPr>
              <w:spacing w:after="0"/>
            </w:pPr>
            <w:r>
              <w:rPr>
                <w:b w:val="0"/>
                <w:sz w:val="14"/>
              </w:rPr>
              <w:t>A second educator reviews the C0, C2, C3, and C4 tasks before results are seen.</w:t>
            </w:r>
          </w:p>
        </w:tc>
      </w:tr>
      <w:tr>
        <w:trPr>
          <w:cantSplit/>
        </w:trPr>
        <w:tc>
          <w:tcPr>
            <w:tcW w:type="dxa" w:w="2448"/>
            <w:vAlign w:val="center"/>
            <w:tcMar>
              <w:top w:w="72" w:type="dxa"/>
              <w:start w:w="84" w:type="dxa"/>
              <w:bottom w:w="72" w:type="dxa"/>
              <w:end w:w="84" w:type="dxa"/>
            </w:tcMar>
          </w:tcPr>
          <w:p>
            <w:pPr>
              <w:spacing w:after="0"/>
            </w:pPr>
            <w:r>
              <w:rPr>
                <w:b/>
                <w:sz w:val="14"/>
              </w:rPr>
              <w:t>Define ordinary human help</w:t>
            </w:r>
          </w:p>
        </w:tc>
        <w:tc>
          <w:tcPr>
            <w:tcW w:type="dxa" w:w="1080"/>
            <w:vAlign w:val="center"/>
            <w:tcMar>
              <w:top w:w="72" w:type="dxa"/>
              <w:start w:w="84" w:type="dxa"/>
              <w:bottom w:w="72" w:type="dxa"/>
              <w:end w:w="84" w:type="dxa"/>
            </w:tcMar>
          </w:tcPr>
          <w:p>
            <w:pPr>
              <w:spacing w:after="0"/>
              <w:jc w:val="center"/>
            </w:pPr>
            <w:r>
              <w:rPr>
                <w:b w:val="0"/>
                <w:sz w:val="14"/>
              </w:rPr>
              <w:t>A and B</w:t>
            </w:r>
          </w:p>
        </w:tc>
        <w:tc>
          <w:tcPr>
            <w:tcW w:type="dxa" w:w="6696"/>
            <w:vAlign w:val="center"/>
            <w:tcMar>
              <w:top w:w="72" w:type="dxa"/>
              <w:start w:w="84" w:type="dxa"/>
              <w:bottom w:w="72" w:type="dxa"/>
              <w:end w:w="84" w:type="dxa"/>
            </w:tcMar>
          </w:tcPr>
          <w:p>
            <w:pPr>
              <w:spacing w:after="0"/>
            </w:pPr>
            <w:r>
              <w:rPr>
                <w:b w:val="0"/>
                <w:sz w:val="14"/>
              </w:rPr>
              <w:t>List allowed instructor, tutor, peer, and accessibility support for every condition.</w:t>
            </w:r>
          </w:p>
        </w:tc>
      </w:tr>
      <w:tr>
        <w:trPr>
          <w:cantSplit/>
        </w:trPr>
        <w:tc>
          <w:tcPr>
            <w:tcW w:type="dxa" w:w="2448"/>
            <w:vAlign w:val="center"/>
            <w:tcMar>
              <w:top w:w="72" w:type="dxa"/>
              <w:start w:w="84" w:type="dxa"/>
              <w:bottom w:w="72" w:type="dxa"/>
              <w:end w:w="84" w:type="dxa"/>
            </w:tcMar>
            <w:shd w:fill="F4F7F8"/>
          </w:tcPr>
          <w:p>
            <w:pPr>
              <w:spacing w:after="0"/>
            </w:pPr>
            <w:r>
              <w:rPr>
                <w:b/>
                <w:sz w:val="14"/>
              </w:rPr>
              <w:t>Separate written and oral evidence</w:t>
            </w:r>
          </w:p>
        </w:tc>
        <w:tc>
          <w:tcPr>
            <w:tcW w:type="dxa" w:w="1080"/>
            <w:vAlign w:val="center"/>
            <w:tcMar>
              <w:top w:w="72" w:type="dxa"/>
              <w:start w:w="84" w:type="dxa"/>
              <w:bottom w:w="72" w:type="dxa"/>
              <w:end w:w="84" w:type="dxa"/>
            </w:tcMar>
            <w:shd w:fill="F4F7F8"/>
          </w:tcPr>
          <w:p>
            <w:pPr>
              <w:spacing w:after="0"/>
              <w:jc w:val="center"/>
            </w:pPr>
            <w:r>
              <w:rPr>
                <w:b w:val="0"/>
                <w:sz w:val="14"/>
              </w:rPr>
              <w:t>A and B</w:t>
            </w:r>
          </w:p>
        </w:tc>
        <w:tc>
          <w:tcPr>
            <w:tcW w:type="dxa" w:w="6696"/>
            <w:vAlign w:val="center"/>
            <w:tcMar>
              <w:top w:w="72" w:type="dxa"/>
              <w:start w:w="84" w:type="dxa"/>
              <w:bottom w:w="72" w:type="dxa"/>
              <w:end w:w="84" w:type="dxa"/>
            </w:tcMar>
            <w:shd w:fill="F4F7F8"/>
          </w:tcPr>
          <w:p>
            <w:pPr>
              <w:spacing w:after="0"/>
            </w:pPr>
            <w:r>
              <w:rPr>
                <w:b w:val="0"/>
                <w:sz w:val="14"/>
              </w:rPr>
              <w:t>Score each record separately before recording whether oral work confirms ownership.</w:t>
            </w:r>
          </w:p>
        </w:tc>
      </w:tr>
      <w:tr>
        <w:trPr>
          <w:cantSplit/>
        </w:trPr>
        <w:tc>
          <w:tcPr>
            <w:tcW w:type="dxa" w:w="2448"/>
            <w:vAlign w:val="center"/>
            <w:tcMar>
              <w:top w:w="72" w:type="dxa"/>
              <w:start w:w="84" w:type="dxa"/>
              <w:bottom w:w="72" w:type="dxa"/>
              <w:end w:w="84" w:type="dxa"/>
            </w:tcMar>
          </w:tcPr>
          <w:p>
            <w:pPr>
              <w:spacing w:after="0"/>
            </w:pPr>
            <w:r>
              <w:rPr>
                <w:b/>
                <w:sz w:val="14"/>
              </w:rPr>
              <w:t>Constrain critique format</w:t>
            </w:r>
          </w:p>
        </w:tc>
        <w:tc>
          <w:tcPr>
            <w:tcW w:type="dxa" w:w="1080"/>
            <w:vAlign w:val="center"/>
            <w:tcMar>
              <w:top w:w="72" w:type="dxa"/>
              <w:start w:w="84" w:type="dxa"/>
              <w:bottom w:w="72" w:type="dxa"/>
              <w:end w:w="84" w:type="dxa"/>
            </w:tcMar>
          </w:tcPr>
          <w:p>
            <w:pPr>
              <w:spacing w:after="0"/>
              <w:jc w:val="center"/>
            </w:pPr>
            <w:r>
              <w:rPr>
                <w:b w:val="0"/>
                <w:sz w:val="14"/>
              </w:rPr>
              <w:t>B</w:t>
            </w:r>
          </w:p>
        </w:tc>
        <w:tc>
          <w:tcPr>
            <w:tcW w:type="dxa" w:w="6696"/>
            <w:vAlign w:val="center"/>
            <w:tcMar>
              <w:top w:w="72" w:type="dxa"/>
              <w:start w:w="84" w:type="dxa"/>
              <w:bottom w:w="72" w:type="dxa"/>
              <w:end w:w="84" w:type="dxa"/>
            </w:tcMar>
          </w:tcPr>
          <w:p>
            <w:pPr>
              <w:spacing w:after="0"/>
            </w:pPr>
            <w:r>
              <w:rPr>
                <w:b w:val="0"/>
                <w:sz w:val="14"/>
              </w:rPr>
              <w:t>Permit no more than three observations, each with a source locator and question only.</w:t>
            </w:r>
          </w:p>
        </w:tc>
      </w:tr>
      <w:tr>
        <w:trPr>
          <w:cantSplit/>
        </w:trPr>
        <w:tc>
          <w:tcPr>
            <w:tcW w:type="dxa" w:w="2448"/>
            <w:vAlign w:val="center"/>
            <w:tcMar>
              <w:top w:w="72" w:type="dxa"/>
              <w:start w:w="84" w:type="dxa"/>
              <w:bottom w:w="72" w:type="dxa"/>
              <w:end w:w="84" w:type="dxa"/>
            </w:tcMar>
            <w:shd w:fill="F4F7F8"/>
          </w:tcPr>
          <w:p>
            <w:pPr>
              <w:spacing w:after="0"/>
            </w:pPr>
            <w:r>
              <w:rPr>
                <w:b/>
                <w:sz w:val="14"/>
              </w:rPr>
              <w:t>Add boundary failure rule</w:t>
            </w:r>
          </w:p>
        </w:tc>
        <w:tc>
          <w:tcPr>
            <w:tcW w:type="dxa" w:w="1080"/>
            <w:vAlign w:val="center"/>
            <w:tcMar>
              <w:top w:w="72" w:type="dxa"/>
              <w:start w:w="84" w:type="dxa"/>
              <w:bottom w:w="72" w:type="dxa"/>
              <w:end w:w="84" w:type="dxa"/>
            </w:tcMar>
            <w:shd w:fill="F4F7F8"/>
          </w:tcPr>
          <w:p>
            <w:pPr>
              <w:spacing w:after="0"/>
              <w:jc w:val="center"/>
            </w:pPr>
            <w:r>
              <w:rPr>
                <w:b w:val="0"/>
                <w:sz w:val="14"/>
              </w:rPr>
              <w:t>B</w:t>
            </w:r>
          </w:p>
        </w:tc>
        <w:tc>
          <w:tcPr>
            <w:tcW w:type="dxa" w:w="6696"/>
            <w:vAlign w:val="center"/>
            <w:tcMar>
              <w:top w:w="72" w:type="dxa"/>
              <w:start w:w="84" w:type="dxa"/>
              <w:bottom w:w="72" w:type="dxa"/>
              <w:end w:w="84" w:type="dxa"/>
            </w:tcMar>
            <w:shd w:fill="F4F7F8"/>
          </w:tcPr>
          <w:p>
            <w:pPr>
              <w:spacing w:after="0"/>
            </w:pPr>
            <w:r>
              <w:rPr>
                <w:b w:val="0"/>
                <w:sz w:val="14"/>
              </w:rPr>
              <w:t>Discard prohibited output and record the failure; do not silently use part of it.</w:t>
            </w:r>
          </w:p>
        </w:tc>
      </w:tr>
      <w:tr>
        <w:trPr>
          <w:cantSplit/>
        </w:trPr>
        <w:tc>
          <w:tcPr>
            <w:tcW w:type="dxa" w:w="2448"/>
            <w:vAlign w:val="center"/>
            <w:tcMar>
              <w:top w:w="72" w:type="dxa"/>
              <w:start w:w="84" w:type="dxa"/>
              <w:bottom w:w="72" w:type="dxa"/>
              <w:end w:w="84" w:type="dxa"/>
            </w:tcMar>
          </w:tcPr>
          <w:p>
            <w:pPr>
              <w:spacing w:after="0"/>
            </w:pPr>
            <w:r>
              <w:rPr>
                <w:b/>
                <w:sz w:val="14"/>
              </w:rPr>
              <w:t>Define missing data</w:t>
            </w:r>
          </w:p>
        </w:tc>
        <w:tc>
          <w:tcPr>
            <w:tcW w:type="dxa" w:w="1080"/>
            <w:vAlign w:val="center"/>
            <w:tcMar>
              <w:top w:w="72" w:type="dxa"/>
              <w:start w:w="84" w:type="dxa"/>
              <w:bottom w:w="72" w:type="dxa"/>
              <w:end w:w="84" w:type="dxa"/>
            </w:tcMar>
          </w:tcPr>
          <w:p>
            <w:pPr>
              <w:spacing w:after="0"/>
              <w:jc w:val="center"/>
            </w:pPr>
            <w:r>
              <w:rPr>
                <w:b w:val="0"/>
                <w:sz w:val="14"/>
              </w:rPr>
              <w:t>A and B</w:t>
            </w:r>
          </w:p>
        </w:tc>
        <w:tc>
          <w:tcPr>
            <w:tcW w:type="dxa" w:w="6696"/>
            <w:vAlign w:val="center"/>
            <w:tcMar>
              <w:top w:w="72" w:type="dxa"/>
              <w:start w:w="84" w:type="dxa"/>
              <w:bottom w:w="72" w:type="dxa"/>
              <w:end w:w="84" w:type="dxa"/>
            </w:tcMar>
          </w:tcPr>
          <w:p>
            <w:pPr>
              <w:spacing w:after="0"/>
            </w:pPr>
            <w:r>
              <w:rPr>
                <w:b w:val="0"/>
                <w:sz w:val="14"/>
              </w:rPr>
              <w:t>Use missing rather than zero and report attrition and reasons by condition.</w:t>
            </w:r>
          </w:p>
        </w:tc>
      </w:tr>
      <w:tr>
        <w:trPr>
          <w:cantSplit/>
        </w:trPr>
        <w:tc>
          <w:tcPr>
            <w:tcW w:type="dxa" w:w="2448"/>
            <w:vAlign w:val="center"/>
            <w:tcMar>
              <w:top w:w="72" w:type="dxa"/>
              <w:start w:w="84" w:type="dxa"/>
              <w:bottom w:w="72" w:type="dxa"/>
              <w:end w:w="84" w:type="dxa"/>
            </w:tcMar>
            <w:shd w:fill="F4F7F8"/>
          </w:tcPr>
          <w:p>
            <w:pPr>
              <w:spacing w:after="0"/>
            </w:pPr>
            <w:r>
              <w:rPr>
                <w:b/>
                <w:sz w:val="14"/>
              </w:rPr>
              <w:t>Protect interpretation</w:t>
            </w:r>
          </w:p>
        </w:tc>
        <w:tc>
          <w:tcPr>
            <w:tcW w:type="dxa" w:w="1080"/>
            <w:vAlign w:val="center"/>
            <w:tcMar>
              <w:top w:w="72" w:type="dxa"/>
              <w:start w:w="84" w:type="dxa"/>
              <w:bottom w:w="72" w:type="dxa"/>
              <w:end w:w="84" w:type="dxa"/>
            </w:tcMar>
            <w:shd w:fill="F4F7F8"/>
          </w:tcPr>
          <w:p>
            <w:pPr>
              <w:spacing w:after="0"/>
              <w:jc w:val="center"/>
            </w:pPr>
            <w:r>
              <w:rPr>
                <w:b w:val="0"/>
                <w:sz w:val="14"/>
              </w:rPr>
              <w:t>A and B</w:t>
            </w:r>
          </w:p>
        </w:tc>
        <w:tc>
          <w:tcPr>
            <w:tcW w:type="dxa" w:w="6696"/>
            <w:vAlign w:val="center"/>
            <w:tcMar>
              <w:top w:w="72" w:type="dxa"/>
              <w:start w:w="84" w:type="dxa"/>
              <w:bottom w:w="72" w:type="dxa"/>
              <w:end w:w="84" w:type="dxa"/>
            </w:tcMar>
            <w:shd w:fill="F4F7F8"/>
          </w:tcPr>
          <w:p>
            <w:pPr>
              <w:spacing w:after="0"/>
            </w:pPr>
            <w:r>
              <w:rPr>
                <w:b w:val="0"/>
                <w:sz w:val="14"/>
              </w:rPr>
              <w:t>Do not create a composite institutional score from pilot task results.</w:t>
            </w:r>
          </w:p>
        </w:tc>
      </w:tr>
      <w:tr>
        <w:trPr>
          <w:cantSplit/>
        </w:trPr>
        <w:tc>
          <w:tcPr>
            <w:tcW w:type="dxa" w:w="2448"/>
            <w:vAlign w:val="center"/>
            <w:tcMar>
              <w:top w:w="72" w:type="dxa"/>
              <w:start w:w="84" w:type="dxa"/>
              <w:bottom w:w="72" w:type="dxa"/>
              <w:end w:w="84" w:type="dxa"/>
            </w:tcMar>
          </w:tcPr>
          <w:p>
            <w:pPr>
              <w:spacing w:after="0"/>
            </w:pPr>
            <w:r>
              <w:rPr>
                <w:b/>
                <w:sz w:val="14"/>
              </w:rPr>
              <w:t>Verify workload offset</w:t>
            </w:r>
          </w:p>
        </w:tc>
        <w:tc>
          <w:tcPr>
            <w:tcW w:type="dxa" w:w="1080"/>
            <w:vAlign w:val="center"/>
            <w:tcMar>
              <w:top w:w="72" w:type="dxa"/>
              <w:start w:w="84" w:type="dxa"/>
              <w:bottom w:w="72" w:type="dxa"/>
              <w:end w:w="84" w:type="dxa"/>
            </w:tcMar>
          </w:tcPr>
          <w:p>
            <w:pPr>
              <w:spacing w:after="0"/>
              <w:jc w:val="center"/>
            </w:pPr>
            <w:r>
              <w:rPr>
                <w:b w:val="0"/>
                <w:sz w:val="14"/>
              </w:rPr>
              <w:t>A and B</w:t>
            </w:r>
          </w:p>
        </w:tc>
        <w:tc>
          <w:tcPr>
            <w:tcW w:type="dxa" w:w="6696"/>
            <w:vAlign w:val="center"/>
            <w:tcMar>
              <w:top w:w="72" w:type="dxa"/>
              <w:start w:w="84" w:type="dxa"/>
              <w:bottom w:w="72" w:type="dxa"/>
              <w:end w:w="84" w:type="dxa"/>
            </w:tcMar>
          </w:tcPr>
          <w:p>
            <w:pPr>
              <w:spacing w:after="0"/>
            </w:pPr>
            <w:r>
              <w:rPr>
                <w:b w:val="0"/>
                <w:sz w:val="14"/>
              </w:rPr>
              <w:t>Identify which normal activity the pilot replaces and who absorbs remaining work.</w:t>
            </w:r>
          </w:p>
        </w:tc>
      </w:tr>
    </w:tbl>
    <w:p>
      <w:pPr>
        <w:pStyle w:val="Heading2"/>
      </w:pPr>
      <w:r>
        <w:t>Version control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240"/>
            <w:vAlign w:val="center"/>
            <w:shd w:fill="193F58"/>
            <w:tcMar>
              <w:top w:w="72" w:type="dxa"/>
              <w:start w:w="84" w:type="dxa"/>
              <w:bottom w:w="72" w:type="dxa"/>
              <w:end w:w="84" w:type="dxa"/>
            </w:tcMar>
          </w:tcPr>
          <w:p>
            <w:pPr>
              <w:spacing w:after="0"/>
            </w:pPr>
            <w:r>
              <w:rPr>
                <w:b/>
                <w:color w:val="FFFFFF"/>
                <w:sz w:val="16"/>
              </w:rPr>
              <w:t>Field</w:t>
            </w:r>
          </w:p>
        </w:tc>
        <w:tc>
          <w:tcPr>
            <w:tcW w:type="dxa" w:w="6984"/>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240"/>
            <w:vAlign w:val="center"/>
            <w:tcMar>
              <w:top w:w="72" w:type="dxa"/>
              <w:start w:w="84" w:type="dxa"/>
              <w:bottom w:w="72" w:type="dxa"/>
              <w:end w:w="84" w:type="dxa"/>
            </w:tcMar>
          </w:tcPr>
          <w:p>
            <w:pPr>
              <w:spacing w:after="0"/>
            </w:pPr>
            <w:r>
              <w:rPr>
                <w:b/>
                <w:sz w:val="16"/>
              </w:rPr>
              <w:t>Phase Twelve source version</w:t>
            </w:r>
          </w:p>
        </w:tc>
        <w:tc>
          <w:tcPr>
            <w:tcW w:type="dxa" w:w="6984"/>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240"/>
            <w:vAlign w:val="center"/>
            <w:tcMar>
              <w:top w:w="72" w:type="dxa"/>
              <w:start w:w="84" w:type="dxa"/>
              <w:bottom w:w="72" w:type="dxa"/>
              <w:end w:w="84" w:type="dxa"/>
            </w:tcMar>
            <w:shd w:fill="F4F7F8"/>
          </w:tcPr>
          <w:p>
            <w:pPr>
              <w:spacing w:after="0"/>
            </w:pPr>
            <w:r>
              <w:rPr>
                <w:b/>
                <w:sz w:val="16"/>
              </w:rPr>
              <w:t>Revised packet version</w:t>
            </w:r>
          </w:p>
        </w:tc>
        <w:tc>
          <w:tcPr>
            <w:tcW w:type="dxa" w:w="6984"/>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240"/>
            <w:vAlign w:val="center"/>
            <w:tcMar>
              <w:top w:w="72" w:type="dxa"/>
              <w:start w:w="84" w:type="dxa"/>
              <w:bottom w:w="72" w:type="dxa"/>
              <w:end w:w="84" w:type="dxa"/>
            </w:tcMar>
          </w:tcPr>
          <w:p>
            <w:pPr>
              <w:spacing w:after="0"/>
            </w:pPr>
            <w:r>
              <w:rPr>
                <w:b/>
                <w:sz w:val="16"/>
              </w:rPr>
              <w:t>Revision owner</w:t>
            </w:r>
          </w:p>
        </w:tc>
        <w:tc>
          <w:tcPr>
            <w:tcW w:type="dxa" w:w="6984"/>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240"/>
            <w:vAlign w:val="center"/>
            <w:tcMar>
              <w:top w:w="72" w:type="dxa"/>
              <w:start w:w="84" w:type="dxa"/>
              <w:bottom w:w="72" w:type="dxa"/>
              <w:end w:w="84" w:type="dxa"/>
            </w:tcMar>
            <w:shd w:fill="F4F7F8"/>
          </w:tcPr>
          <w:p>
            <w:pPr>
              <w:spacing w:after="0"/>
            </w:pPr>
            <w:r>
              <w:rPr>
                <w:b/>
                <w:sz w:val="16"/>
              </w:rPr>
              <w:t>Date approved for tabletop review</w:t>
            </w:r>
          </w:p>
        </w:tc>
        <w:tc>
          <w:tcPr>
            <w:tcW w:type="dxa" w:w="6984"/>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240"/>
            <w:vAlign w:val="center"/>
            <w:tcMar>
              <w:top w:w="72" w:type="dxa"/>
              <w:start w:w="84" w:type="dxa"/>
              <w:bottom w:w="72" w:type="dxa"/>
              <w:end w:w="84" w:type="dxa"/>
            </w:tcMar>
          </w:tcPr>
          <w:p>
            <w:pPr>
              <w:spacing w:after="0"/>
            </w:pPr>
            <w:r>
              <w:rPr>
                <w:b/>
                <w:sz w:val="16"/>
              </w:rPr>
              <w:t>Unresolved revision</w:t>
            </w:r>
          </w:p>
        </w:tc>
        <w:tc>
          <w:tcPr>
            <w:tcW w:type="dxa" w:w="6984"/>
            <w:vAlign w:val="center"/>
            <w:tcMar>
              <w:top w:w="72" w:type="dxa"/>
              <w:start w:w="84" w:type="dxa"/>
              <w:bottom w:w="72" w:type="dxa"/>
              <w:end w:w="84" w:type="dxa"/>
            </w:tcMar>
          </w:tcPr>
          <w:p>
            <w:pPr>
              <w:spacing w:after="0"/>
            </w:pPr>
            <w:r>
              <w:rPr>
                <w:b w:val="0"/>
                <w:sz w:val="16"/>
              </w:rPr>
              <w:t>_______________________________________________</w:t>
            </w:r>
          </w:p>
        </w:tc>
      </w:tr>
    </w:tbl>
    <w:p>
      <w:r>
        <w:br w:type="page"/>
      </w:r>
    </w:p>
    <w:p>
      <w:pPr>
        <w:pStyle w:val="Heading1"/>
      </w:pPr>
      <w:r>
        <w:t>Human rater calibration protocol</w:t>
      </w:r>
    </w:p>
    <w:p>
      <w:pPr>
        <w:pStyle w:val="Heading2"/>
      </w:pPr>
      <w:r>
        <w:t>Calibration sequence</w:t>
      </w:r>
    </w:p>
    <w:p>
      <w:pPr>
        <w:ind w:left="346" w:hanging="346"/>
      </w:pPr>
      <w:r>
        <w:t>1.  Train each rater on the dimension definitions and score 3 and score 4 evidence requirements.</w:t>
      </w:r>
    </w:p>
    <w:p>
      <w:pPr>
        <w:ind w:left="346" w:hanging="346"/>
      </w:pPr>
      <w:r>
        <w:t>2.  Score at least four synthetic examples independently, including weak, adequate, strong, and ambiguous work.</w:t>
      </w:r>
    </w:p>
    <w:p>
      <w:pPr>
        <w:ind w:left="346" w:hanging="346"/>
      </w:pPr>
      <w:r>
        <w:t>3.  Compare scores dimension by dimension without revealing condition labels or institutional context where practical.</w:t>
      </w:r>
    </w:p>
    <w:p>
      <w:pPr>
        <w:ind w:left="346" w:hanging="346"/>
      </w:pPr>
      <w:r>
        <w:t>4.  For every disagreement, cite the exact evidence and determine whether the anchor, example, or task requires revision.</w:t>
      </w:r>
    </w:p>
    <w:p>
      <w:pPr>
        <w:ind w:left="346" w:hanging="346"/>
      </w:pPr>
      <w:r>
        <w:t>5.  Score a new unseen set after discussion. Do not report reliability from the training set.</w:t>
      </w:r>
    </w:p>
    <w:p>
      <w:pPr>
        <w:ind w:left="346" w:hanging="346"/>
      </w:pPr>
      <w:r>
        <w:t>6.  Document exact agreement, agreement within one point, missing evidence handling, and adjudication results.</w:t>
      </w:r>
    </w:p>
    <w:p>
      <w:pPr>
        <w:pStyle w:val="Heading2"/>
      </w:pPr>
      <w:r>
        <w:t>Proposed readiness thresholds</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5"/>
              </w:rPr>
              <w:t>Measure</w:t>
            </w:r>
          </w:p>
        </w:tc>
        <w:tc>
          <w:tcPr>
            <w:tcW w:type="dxa" w:w="2088"/>
            <w:vAlign w:val="center"/>
            <w:shd w:fill="193F58"/>
            <w:tcMar>
              <w:top w:w="72" w:type="dxa"/>
              <w:start w:w="84" w:type="dxa"/>
              <w:bottom w:w="72" w:type="dxa"/>
              <w:end w:w="84" w:type="dxa"/>
            </w:tcMar>
          </w:tcPr>
          <w:p>
            <w:pPr>
              <w:spacing w:after="0"/>
            </w:pPr>
            <w:r>
              <w:rPr>
                <w:b/>
                <w:color w:val="FFFFFF"/>
                <w:sz w:val="15"/>
              </w:rPr>
              <w:t>Proposed threshold</w:t>
            </w:r>
          </w:p>
        </w:tc>
        <w:tc>
          <w:tcPr>
            <w:tcW w:type="dxa" w:w="5904"/>
            <w:vAlign w:val="center"/>
            <w:shd w:fill="193F58"/>
            <w:tcMar>
              <w:top w:w="72" w:type="dxa"/>
              <w:start w:w="84" w:type="dxa"/>
              <w:bottom w:w="72" w:type="dxa"/>
              <w:end w:w="84" w:type="dxa"/>
            </w:tcMar>
          </w:tcPr>
          <w:p>
            <w:pPr>
              <w:spacing w:after="0"/>
            </w:pPr>
            <w:r>
              <w:rPr>
                <w:b/>
                <w:color w:val="FFFFFF"/>
                <w:sz w:val="15"/>
              </w:rPr>
              <w:t>Reason</w:t>
            </w:r>
          </w:p>
        </w:tc>
      </w:tr>
      <w:tr>
        <w:trPr>
          <w:cantSplit/>
        </w:trPr>
        <w:tc>
          <w:tcPr>
            <w:tcW w:type="dxa" w:w="2232"/>
            <w:vAlign w:val="center"/>
            <w:tcMar>
              <w:top w:w="72" w:type="dxa"/>
              <w:start w:w="84" w:type="dxa"/>
              <w:bottom w:w="72" w:type="dxa"/>
              <w:end w:w="84" w:type="dxa"/>
            </w:tcMar>
          </w:tcPr>
          <w:p>
            <w:pPr>
              <w:spacing w:after="0"/>
            </w:pPr>
            <w:r>
              <w:rPr>
                <w:b/>
                <w:sz w:val="15"/>
              </w:rPr>
              <w:t>Exact agreement</w:t>
            </w:r>
          </w:p>
        </w:tc>
        <w:tc>
          <w:tcPr>
            <w:tcW w:type="dxa" w:w="2088"/>
            <w:vAlign w:val="center"/>
            <w:tcMar>
              <w:top w:w="72" w:type="dxa"/>
              <w:start w:w="84" w:type="dxa"/>
              <w:bottom w:w="72" w:type="dxa"/>
              <w:end w:w="84" w:type="dxa"/>
            </w:tcMar>
          </w:tcPr>
          <w:p>
            <w:pPr>
              <w:spacing w:after="0"/>
            </w:pPr>
            <w:r>
              <w:rPr>
                <w:b w:val="0"/>
                <w:sz w:val="15"/>
              </w:rPr>
              <w:t>At least 80 percent</w:t>
            </w:r>
          </w:p>
        </w:tc>
        <w:tc>
          <w:tcPr>
            <w:tcW w:type="dxa" w:w="5904"/>
            <w:vAlign w:val="center"/>
            <w:tcMar>
              <w:top w:w="72" w:type="dxa"/>
              <w:start w:w="84" w:type="dxa"/>
              <w:bottom w:w="72" w:type="dxa"/>
              <w:end w:w="84" w:type="dxa"/>
            </w:tcMar>
          </w:tcPr>
          <w:p>
            <w:pPr>
              <w:spacing w:after="0"/>
            </w:pPr>
            <w:r>
              <w:rPr>
                <w:b w:val="0"/>
                <w:sz w:val="15"/>
              </w:rPr>
              <w:t>Limits arbitrary differences in the small 0 through 4 scale.</w:t>
            </w:r>
          </w:p>
        </w:tc>
      </w:tr>
      <w:tr>
        <w:trPr>
          <w:cantSplit/>
        </w:trPr>
        <w:tc>
          <w:tcPr>
            <w:tcW w:type="dxa" w:w="2232"/>
            <w:vAlign w:val="center"/>
            <w:tcMar>
              <w:top w:w="72" w:type="dxa"/>
              <w:start w:w="84" w:type="dxa"/>
              <w:bottom w:w="72" w:type="dxa"/>
              <w:end w:w="84" w:type="dxa"/>
            </w:tcMar>
            <w:shd w:fill="F4F7F8"/>
          </w:tcPr>
          <w:p>
            <w:pPr>
              <w:spacing w:after="0"/>
            </w:pPr>
            <w:r>
              <w:rPr>
                <w:b/>
                <w:sz w:val="15"/>
              </w:rPr>
              <w:t>Agreement within one point</w:t>
            </w:r>
          </w:p>
        </w:tc>
        <w:tc>
          <w:tcPr>
            <w:tcW w:type="dxa" w:w="2088"/>
            <w:vAlign w:val="center"/>
            <w:tcMar>
              <w:top w:w="72" w:type="dxa"/>
              <w:start w:w="84" w:type="dxa"/>
              <w:bottom w:w="72" w:type="dxa"/>
              <w:end w:w="84" w:type="dxa"/>
            </w:tcMar>
            <w:shd w:fill="F4F7F8"/>
          </w:tcPr>
          <w:p>
            <w:pPr>
              <w:spacing w:after="0"/>
            </w:pPr>
            <w:r>
              <w:rPr>
                <w:b w:val="0"/>
                <w:sz w:val="15"/>
              </w:rPr>
              <w:t>100 percent</w:t>
            </w:r>
          </w:p>
        </w:tc>
        <w:tc>
          <w:tcPr>
            <w:tcW w:type="dxa" w:w="5904"/>
            <w:vAlign w:val="center"/>
            <w:tcMar>
              <w:top w:w="72" w:type="dxa"/>
              <w:start w:w="84" w:type="dxa"/>
              <w:bottom w:w="72" w:type="dxa"/>
              <w:end w:w="84" w:type="dxa"/>
            </w:tcMar>
            <w:shd w:fill="F4F7F8"/>
          </w:tcPr>
          <w:p>
            <w:pPr>
              <w:spacing w:after="0"/>
            </w:pPr>
            <w:r>
              <w:rPr>
                <w:b w:val="0"/>
                <w:sz w:val="15"/>
              </w:rPr>
              <w:t>A two point difference indicates materially different use of an anchor.</w:t>
            </w:r>
          </w:p>
        </w:tc>
      </w:tr>
      <w:tr>
        <w:trPr>
          <w:cantSplit/>
        </w:trPr>
        <w:tc>
          <w:tcPr>
            <w:tcW w:type="dxa" w:w="2232"/>
            <w:vAlign w:val="center"/>
            <w:tcMar>
              <w:top w:w="72" w:type="dxa"/>
              <w:start w:w="84" w:type="dxa"/>
              <w:bottom w:w="72" w:type="dxa"/>
              <w:end w:w="84" w:type="dxa"/>
            </w:tcMar>
          </w:tcPr>
          <w:p>
            <w:pPr>
              <w:spacing w:after="0"/>
            </w:pPr>
            <w:r>
              <w:rPr>
                <w:b/>
                <w:sz w:val="15"/>
              </w:rPr>
              <w:t>Verification errors</w:t>
            </w:r>
          </w:p>
        </w:tc>
        <w:tc>
          <w:tcPr>
            <w:tcW w:type="dxa" w:w="2088"/>
            <w:vAlign w:val="center"/>
            <w:tcMar>
              <w:top w:w="72" w:type="dxa"/>
              <w:start w:w="84" w:type="dxa"/>
              <w:bottom w:w="72" w:type="dxa"/>
              <w:end w:w="84" w:type="dxa"/>
            </w:tcMar>
          </w:tcPr>
          <w:p>
            <w:pPr>
              <w:spacing w:after="0"/>
            </w:pPr>
            <w:r>
              <w:rPr>
                <w:b w:val="0"/>
                <w:sz w:val="15"/>
              </w:rPr>
              <w:t>100 percent identification</w:t>
            </w:r>
          </w:p>
        </w:tc>
        <w:tc>
          <w:tcPr>
            <w:tcW w:type="dxa" w:w="5904"/>
            <w:vAlign w:val="center"/>
            <w:tcMar>
              <w:top w:w="72" w:type="dxa"/>
              <w:start w:w="84" w:type="dxa"/>
              <w:bottom w:w="72" w:type="dxa"/>
              <w:end w:w="84" w:type="dxa"/>
            </w:tcMar>
          </w:tcPr>
          <w:p>
            <w:pPr>
              <w:spacing w:after="0"/>
            </w:pPr>
            <w:r>
              <w:rPr>
                <w:b w:val="0"/>
                <w:sz w:val="15"/>
              </w:rPr>
              <w:t>Invented, misstated, or unsupported authority cannot be treated as a minor style difference.</w:t>
            </w:r>
          </w:p>
        </w:tc>
      </w:tr>
      <w:tr>
        <w:trPr>
          <w:cantSplit/>
        </w:trPr>
        <w:tc>
          <w:tcPr>
            <w:tcW w:type="dxa" w:w="2232"/>
            <w:vAlign w:val="center"/>
            <w:tcMar>
              <w:top w:w="72" w:type="dxa"/>
              <w:start w:w="84" w:type="dxa"/>
              <w:bottom w:w="72" w:type="dxa"/>
              <w:end w:w="84" w:type="dxa"/>
            </w:tcMar>
            <w:shd w:fill="F4F7F8"/>
          </w:tcPr>
          <w:p>
            <w:pPr>
              <w:spacing w:after="0"/>
            </w:pPr>
            <w:r>
              <w:rPr>
                <w:b/>
                <w:sz w:val="15"/>
              </w:rPr>
              <w:t>Boundary violations</w:t>
            </w:r>
          </w:p>
        </w:tc>
        <w:tc>
          <w:tcPr>
            <w:tcW w:type="dxa" w:w="2088"/>
            <w:vAlign w:val="center"/>
            <w:tcMar>
              <w:top w:w="72" w:type="dxa"/>
              <w:start w:w="84" w:type="dxa"/>
              <w:bottom w:w="72" w:type="dxa"/>
              <w:end w:w="84" w:type="dxa"/>
            </w:tcMar>
            <w:shd w:fill="F4F7F8"/>
          </w:tcPr>
          <w:p>
            <w:pPr>
              <w:spacing w:after="0"/>
            </w:pPr>
            <w:r>
              <w:rPr>
                <w:b w:val="0"/>
                <w:sz w:val="15"/>
              </w:rPr>
              <w:t>100 percent identification</w:t>
            </w:r>
          </w:p>
        </w:tc>
        <w:tc>
          <w:tcPr>
            <w:tcW w:type="dxa" w:w="5904"/>
            <w:vAlign w:val="center"/>
            <w:tcMar>
              <w:top w:w="72" w:type="dxa"/>
              <w:start w:w="84" w:type="dxa"/>
              <w:bottom w:w="72" w:type="dxa"/>
              <w:end w:w="84" w:type="dxa"/>
            </w:tcMar>
            <w:shd w:fill="F4F7F8"/>
          </w:tcPr>
          <w:p>
            <w:pPr>
              <w:spacing w:after="0"/>
            </w:pPr>
            <w:r>
              <w:rPr>
                <w:b w:val="0"/>
                <w:sz w:val="15"/>
              </w:rPr>
              <w:t>A prohibited substitution changes the condition being tested.</w:t>
            </w:r>
          </w:p>
        </w:tc>
      </w:tr>
      <w:tr>
        <w:trPr>
          <w:cantSplit/>
        </w:trPr>
        <w:tc>
          <w:tcPr>
            <w:tcW w:type="dxa" w:w="2232"/>
            <w:vAlign w:val="center"/>
            <w:tcMar>
              <w:top w:w="72" w:type="dxa"/>
              <w:start w:w="84" w:type="dxa"/>
              <w:bottom w:w="72" w:type="dxa"/>
              <w:end w:w="84" w:type="dxa"/>
            </w:tcMar>
          </w:tcPr>
          <w:p>
            <w:pPr>
              <w:spacing w:after="0"/>
            </w:pPr>
            <w:r>
              <w:rPr>
                <w:b/>
                <w:sz w:val="15"/>
              </w:rPr>
              <w:t>Missing evidence</w:t>
            </w:r>
          </w:p>
        </w:tc>
        <w:tc>
          <w:tcPr>
            <w:tcW w:type="dxa" w:w="2088"/>
            <w:vAlign w:val="center"/>
            <w:tcMar>
              <w:top w:w="72" w:type="dxa"/>
              <w:start w:w="84" w:type="dxa"/>
              <w:bottom w:w="72" w:type="dxa"/>
              <w:end w:w="84" w:type="dxa"/>
            </w:tcMar>
          </w:tcPr>
          <w:p>
            <w:pPr>
              <w:spacing w:after="0"/>
            </w:pPr>
            <w:r>
              <w:rPr>
                <w:b w:val="0"/>
                <w:sz w:val="15"/>
              </w:rPr>
              <w:t>100 percent correct treatment</w:t>
            </w:r>
          </w:p>
        </w:tc>
        <w:tc>
          <w:tcPr>
            <w:tcW w:type="dxa" w:w="5904"/>
            <w:vAlign w:val="center"/>
            <w:tcMar>
              <w:top w:w="72" w:type="dxa"/>
              <w:start w:w="84" w:type="dxa"/>
              <w:bottom w:w="72" w:type="dxa"/>
              <w:end w:w="84" w:type="dxa"/>
            </w:tcMar>
          </w:tcPr>
          <w:p>
            <w:pPr>
              <w:spacing w:after="0"/>
            </w:pPr>
            <w:r>
              <w:rPr>
                <w:b w:val="0"/>
                <w:sz w:val="15"/>
              </w:rPr>
              <w:t>Missing work must not be converted into a low performance score.</w:t>
            </w:r>
          </w:p>
        </w:tc>
      </w:tr>
    </w:tbl>
    <w:p>
      <w:pPr>
        <w:spacing w:before="100"/>
      </w:pPr>
      <w:r>
        <w:t>These thresholds are proposed operating rules for this investigation, not published institutional standards. If the unseen set fails a threshold, revise the anchor or task and repeat calibration with new examples. Do not improve the statistic by averaging unresolved scores.</w:t>
      </w:r>
    </w:p>
    <w:p>
      <w:pPr>
        <w:spacing w:before="100" w:after="40"/>
      </w:pPr>
      <w:r>
        <w:rPr>
          <w:b/>
        </w:rPr>
        <w:t xml:space="preserve">Official sources  </w:t>
      </w:r>
      <w:hyperlink r:id="rId14">
        <w:r>
          <w:rPr>
            <w:color w:val="346685"/>
            <w:u w:val="single"/>
          </w:rPr>
          <w:t>What Works Clearinghouse standards and protocols</w:t>
        </w:r>
      </w:hyperlink>
    </w:p>
    <w:p>
      <w:r>
        <w:br w:type="page"/>
      </w:r>
    </w:p>
    <w:p>
      <w:pPr>
        <w:pStyle w:val="Heading1"/>
      </w:pPr>
      <w:r>
        <w:t>Tabletop review registration form</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528"/>
            <w:vAlign w:val="center"/>
            <w:shd w:fill="193F58"/>
            <w:tcMar>
              <w:top w:w="72" w:type="dxa"/>
              <w:start w:w="84" w:type="dxa"/>
              <w:bottom w:w="72" w:type="dxa"/>
              <w:end w:w="84" w:type="dxa"/>
            </w:tcMar>
          </w:tcPr>
          <w:p>
            <w:pPr>
              <w:spacing w:after="0"/>
            </w:pPr>
            <w:r>
              <w:rPr>
                <w:b/>
                <w:color w:val="FFFFFF"/>
                <w:sz w:val="16"/>
              </w:rPr>
              <w:t>Required decision</w:t>
            </w:r>
          </w:p>
        </w:tc>
        <w:tc>
          <w:tcPr>
            <w:tcW w:type="dxa" w:w="6696"/>
            <w:vAlign w:val="center"/>
            <w:shd w:fill="193F58"/>
            <w:tcMar>
              <w:top w:w="72" w:type="dxa"/>
              <w:start w:w="84" w:type="dxa"/>
              <w:bottom w:w="72" w:type="dxa"/>
              <w:end w:w="84" w:type="dxa"/>
            </w:tcMar>
          </w:tcPr>
          <w:p>
            <w:pPr>
              <w:spacing w:after="0"/>
            </w:pPr>
            <w:r>
              <w:rPr>
                <w:b/>
                <w:color w:val="FFFFFF"/>
                <w:sz w:val="16"/>
              </w:rPr>
              <w:t>Entry before review</w:t>
            </w:r>
          </w:p>
        </w:tc>
      </w:tr>
      <w:tr>
        <w:trPr>
          <w:cantSplit/>
        </w:trPr>
        <w:tc>
          <w:tcPr>
            <w:tcW w:type="dxa" w:w="3528"/>
            <w:vAlign w:val="center"/>
            <w:tcMar>
              <w:top w:w="72" w:type="dxa"/>
              <w:start w:w="84" w:type="dxa"/>
              <w:bottom w:w="72" w:type="dxa"/>
              <w:end w:w="84" w:type="dxa"/>
            </w:tcMar>
          </w:tcPr>
          <w:p>
            <w:pPr>
              <w:spacing w:after="0"/>
            </w:pPr>
            <w:r>
              <w:rPr>
                <w:b/>
                <w:sz w:val="16"/>
              </w:rPr>
              <w:t>Packet selected</w:t>
            </w:r>
          </w:p>
        </w:tc>
        <w:tc>
          <w:tcPr>
            <w:tcW w:type="dxa" w:w="6696"/>
            <w:vAlign w:val="center"/>
            <w:tcMar>
              <w:top w:w="72" w:type="dxa"/>
              <w:start w:w="84" w:type="dxa"/>
              <w:bottom w:w="72" w:type="dxa"/>
              <w:end w:w="84" w:type="dxa"/>
            </w:tcMar>
          </w:tcPr>
          <w:p>
            <w:pPr>
              <w:spacing w:after="0"/>
            </w:pPr>
            <w:r>
              <w:rPr>
                <w:b w:val="0"/>
                <w:sz w:val="16"/>
              </w:rPr>
              <w:t>A  B  Both</w:t>
            </w:r>
          </w:p>
        </w:tc>
      </w:tr>
      <w:tr>
        <w:trPr>
          <w:cantSplit/>
        </w:trPr>
        <w:tc>
          <w:tcPr>
            <w:tcW w:type="dxa" w:w="3528"/>
            <w:vAlign w:val="center"/>
            <w:tcMar>
              <w:top w:w="72" w:type="dxa"/>
              <w:start w:w="84" w:type="dxa"/>
              <w:bottom w:w="72" w:type="dxa"/>
              <w:end w:w="84" w:type="dxa"/>
            </w:tcMar>
            <w:shd w:fill="F4F7F8"/>
          </w:tcPr>
          <w:p>
            <w:pPr>
              <w:spacing w:after="0"/>
            </w:pPr>
            <w:r>
              <w:rPr>
                <w:b/>
                <w:sz w:val="16"/>
              </w:rPr>
              <w:t>Educator reviewers</w:t>
            </w:r>
          </w:p>
        </w:tc>
        <w:tc>
          <w:tcPr>
            <w:tcW w:type="dxa" w:w="6696"/>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528"/>
            <w:vAlign w:val="center"/>
            <w:tcMar>
              <w:top w:w="72" w:type="dxa"/>
              <w:start w:w="84" w:type="dxa"/>
              <w:bottom w:w="72" w:type="dxa"/>
              <w:end w:w="84" w:type="dxa"/>
            </w:tcMar>
          </w:tcPr>
          <w:p>
            <w:pPr>
              <w:spacing w:after="0"/>
            </w:pPr>
            <w:r>
              <w:rPr>
                <w:b/>
                <w:sz w:val="16"/>
              </w:rPr>
              <w:t>Raters and calibration lead</w:t>
            </w:r>
          </w:p>
        </w:tc>
        <w:tc>
          <w:tcPr>
            <w:tcW w:type="dxa" w:w="6696"/>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528"/>
            <w:vAlign w:val="center"/>
            <w:tcMar>
              <w:top w:w="72" w:type="dxa"/>
              <w:start w:w="84" w:type="dxa"/>
              <w:bottom w:w="72" w:type="dxa"/>
              <w:end w:w="84" w:type="dxa"/>
            </w:tcMar>
            <w:shd w:fill="F4F7F8"/>
          </w:tcPr>
          <w:p>
            <w:pPr>
              <w:spacing w:after="0"/>
            </w:pPr>
            <w:r>
              <w:rPr>
                <w:b/>
                <w:sz w:val="16"/>
              </w:rPr>
              <w:t>Synthetic or cleared source</w:t>
            </w:r>
          </w:p>
        </w:tc>
        <w:tc>
          <w:tcPr>
            <w:tcW w:type="dxa" w:w="6696"/>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528"/>
            <w:vAlign w:val="center"/>
            <w:tcMar>
              <w:top w:w="72" w:type="dxa"/>
              <w:start w:w="84" w:type="dxa"/>
              <w:bottom w:w="72" w:type="dxa"/>
              <w:end w:w="84" w:type="dxa"/>
            </w:tcMar>
          </w:tcPr>
          <w:p>
            <w:pPr>
              <w:spacing w:after="0"/>
            </w:pPr>
            <w:r>
              <w:rPr>
                <w:b/>
                <w:sz w:val="16"/>
              </w:rPr>
              <w:t>Course rule reviewed</w:t>
            </w:r>
          </w:p>
        </w:tc>
        <w:tc>
          <w:tcPr>
            <w:tcW w:type="dxa" w:w="6696"/>
            <w:vAlign w:val="center"/>
            <w:tcMar>
              <w:top w:w="72" w:type="dxa"/>
              <w:start w:w="84" w:type="dxa"/>
              <w:bottom w:w="72" w:type="dxa"/>
              <w:end w:w="84" w:type="dxa"/>
            </w:tcMar>
          </w:tcPr>
          <w:p>
            <w:pPr>
              <w:spacing w:after="0"/>
            </w:pPr>
            <w:r>
              <w:rPr>
                <w:b w:val="0"/>
                <w:sz w:val="16"/>
              </w:rPr>
              <w:t>Yes  No  Not applicable</w:t>
            </w:r>
          </w:p>
        </w:tc>
      </w:tr>
      <w:tr>
        <w:trPr>
          <w:cantSplit/>
        </w:trPr>
        <w:tc>
          <w:tcPr>
            <w:tcW w:type="dxa" w:w="3528"/>
            <w:vAlign w:val="center"/>
            <w:tcMar>
              <w:top w:w="72" w:type="dxa"/>
              <w:start w:w="84" w:type="dxa"/>
              <w:bottom w:w="72" w:type="dxa"/>
              <w:end w:w="84" w:type="dxa"/>
            </w:tcMar>
            <w:shd w:fill="F4F7F8"/>
          </w:tcPr>
          <w:p>
            <w:pPr>
              <w:spacing w:after="0"/>
            </w:pPr>
            <w:r>
              <w:rPr>
                <w:b/>
                <w:sz w:val="16"/>
              </w:rPr>
              <w:t>Approved tool and account for Packet B</w:t>
            </w:r>
          </w:p>
        </w:tc>
        <w:tc>
          <w:tcPr>
            <w:tcW w:type="dxa" w:w="6696"/>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528"/>
            <w:vAlign w:val="center"/>
            <w:tcMar>
              <w:top w:w="72" w:type="dxa"/>
              <w:start w:w="84" w:type="dxa"/>
              <w:bottom w:w="72" w:type="dxa"/>
              <w:end w:w="84" w:type="dxa"/>
            </w:tcMar>
          </w:tcPr>
          <w:p>
            <w:pPr>
              <w:spacing w:after="0"/>
            </w:pPr>
            <w:r>
              <w:rPr>
                <w:b/>
                <w:sz w:val="16"/>
              </w:rPr>
              <w:t>Human first record method</w:t>
            </w:r>
          </w:p>
        </w:tc>
        <w:tc>
          <w:tcPr>
            <w:tcW w:type="dxa" w:w="6696"/>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528"/>
            <w:vAlign w:val="center"/>
            <w:tcMar>
              <w:top w:w="72" w:type="dxa"/>
              <w:start w:w="84" w:type="dxa"/>
              <w:bottom w:w="72" w:type="dxa"/>
              <w:end w:w="84" w:type="dxa"/>
            </w:tcMar>
            <w:shd w:fill="F4F7F8"/>
          </w:tcPr>
          <w:p>
            <w:pPr>
              <w:spacing w:after="0"/>
            </w:pPr>
            <w:r>
              <w:rPr>
                <w:b/>
                <w:sz w:val="16"/>
              </w:rPr>
              <w:t>Equivalent non AI route</w:t>
            </w:r>
          </w:p>
        </w:tc>
        <w:tc>
          <w:tcPr>
            <w:tcW w:type="dxa" w:w="6696"/>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528"/>
            <w:vAlign w:val="center"/>
            <w:tcMar>
              <w:top w:w="72" w:type="dxa"/>
              <w:start w:w="84" w:type="dxa"/>
              <w:bottom w:w="72" w:type="dxa"/>
              <w:end w:w="84" w:type="dxa"/>
            </w:tcMar>
          </w:tcPr>
          <w:p>
            <w:pPr>
              <w:spacing w:after="0"/>
            </w:pPr>
            <w:r>
              <w:rPr>
                <w:b/>
                <w:sz w:val="16"/>
              </w:rPr>
              <w:t>Accessibility review</w:t>
            </w:r>
          </w:p>
        </w:tc>
        <w:tc>
          <w:tcPr>
            <w:tcW w:type="dxa" w:w="6696"/>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528"/>
            <w:vAlign w:val="center"/>
            <w:tcMar>
              <w:top w:w="72" w:type="dxa"/>
              <w:start w:w="84" w:type="dxa"/>
              <w:bottom w:w="72" w:type="dxa"/>
              <w:end w:w="84" w:type="dxa"/>
            </w:tcMar>
            <w:shd w:fill="F4F7F8"/>
          </w:tcPr>
          <w:p>
            <w:pPr>
              <w:spacing w:after="0"/>
            </w:pPr>
            <w:r>
              <w:rPr>
                <w:b/>
                <w:sz w:val="16"/>
              </w:rPr>
              <w:t>Privacy and deletion review</w:t>
            </w:r>
          </w:p>
        </w:tc>
        <w:tc>
          <w:tcPr>
            <w:tcW w:type="dxa" w:w="6696"/>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528"/>
            <w:vAlign w:val="center"/>
            <w:tcMar>
              <w:top w:w="72" w:type="dxa"/>
              <w:start w:w="84" w:type="dxa"/>
              <w:bottom w:w="72" w:type="dxa"/>
              <w:end w:w="84" w:type="dxa"/>
            </w:tcMar>
          </w:tcPr>
          <w:p>
            <w:pPr>
              <w:spacing w:after="0"/>
            </w:pPr>
            <w:r>
              <w:rPr>
                <w:b/>
                <w:sz w:val="16"/>
              </w:rPr>
              <w:t>Workload offset</w:t>
            </w:r>
          </w:p>
        </w:tc>
        <w:tc>
          <w:tcPr>
            <w:tcW w:type="dxa" w:w="6696"/>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528"/>
            <w:vAlign w:val="center"/>
            <w:tcMar>
              <w:top w:w="72" w:type="dxa"/>
              <w:start w:w="84" w:type="dxa"/>
              <w:bottom w:w="72" w:type="dxa"/>
              <w:end w:w="84" w:type="dxa"/>
            </w:tcMar>
            <w:shd w:fill="F4F7F8"/>
          </w:tcPr>
          <w:p>
            <w:pPr>
              <w:spacing w:after="0"/>
            </w:pPr>
            <w:r>
              <w:rPr>
                <w:b/>
                <w:sz w:val="16"/>
              </w:rPr>
              <w:t>Stop rule owner</w:t>
            </w:r>
          </w:p>
        </w:tc>
        <w:tc>
          <w:tcPr>
            <w:tcW w:type="dxa" w:w="6696"/>
            <w:vAlign w:val="center"/>
            <w:tcMar>
              <w:top w:w="72" w:type="dxa"/>
              <w:start w:w="84" w:type="dxa"/>
              <w:bottom w:w="72" w:type="dxa"/>
              <w:end w:w="84" w:type="dxa"/>
            </w:tcMar>
            <w:shd w:fill="F4F7F8"/>
          </w:tcPr>
          <w:p>
            <w:pPr>
              <w:spacing w:after="0"/>
            </w:pPr>
            <w:r>
              <w:rPr>
                <w:b w:val="0"/>
                <w:sz w:val="16"/>
              </w:rPr>
              <w:t>_______________________________________________</w:t>
            </w:r>
          </w:p>
        </w:tc>
      </w:tr>
    </w:tbl>
    <w:p>
      <w:pPr>
        <w:pStyle w:val="Heading2"/>
      </w:pPr>
      <w:r>
        <w:t>Decision after tabletop review</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376"/>
            <w:vAlign w:val="center"/>
            <w:shd w:fill="193F58"/>
            <w:tcMar>
              <w:top w:w="72" w:type="dxa"/>
              <w:start w:w="84" w:type="dxa"/>
              <w:bottom w:w="72" w:type="dxa"/>
              <w:end w:w="84" w:type="dxa"/>
            </w:tcMar>
          </w:tcPr>
          <w:p>
            <w:pPr>
              <w:spacing w:after="0"/>
            </w:pPr>
            <w:r>
              <w:rPr>
                <w:b/>
                <w:color w:val="FFFFFF"/>
                <w:sz w:val="15"/>
              </w:rPr>
              <w:t>Decision</w:t>
            </w:r>
          </w:p>
        </w:tc>
        <w:tc>
          <w:tcPr>
            <w:tcW w:type="dxa" w:w="7848"/>
            <w:vAlign w:val="center"/>
            <w:shd w:fill="193F58"/>
            <w:tcMar>
              <w:top w:w="72" w:type="dxa"/>
              <w:start w:w="84" w:type="dxa"/>
              <w:bottom w:w="72" w:type="dxa"/>
              <w:end w:w="84" w:type="dxa"/>
            </w:tcMar>
          </w:tcPr>
          <w:p>
            <w:pPr>
              <w:spacing w:after="0"/>
            </w:pPr>
            <w:r>
              <w:rPr>
                <w:b/>
                <w:color w:val="FFFFFF"/>
                <w:sz w:val="15"/>
              </w:rPr>
              <w:t>Required basis</w:t>
            </w:r>
          </w:p>
        </w:tc>
      </w:tr>
      <w:tr>
        <w:trPr>
          <w:cantSplit/>
        </w:trPr>
        <w:tc>
          <w:tcPr>
            <w:tcW w:type="dxa" w:w="2376"/>
            <w:vAlign w:val="center"/>
            <w:tcMar>
              <w:top w:w="72" w:type="dxa"/>
              <w:start w:w="84" w:type="dxa"/>
              <w:bottom w:w="72" w:type="dxa"/>
              <w:end w:w="84" w:type="dxa"/>
            </w:tcMar>
          </w:tcPr>
          <w:p>
            <w:pPr>
              <w:spacing w:after="0"/>
            </w:pPr>
            <w:r>
              <w:rPr>
                <w:b/>
                <w:sz w:val="15"/>
              </w:rPr>
              <w:t>Revise and repeat</w:t>
            </w:r>
          </w:p>
        </w:tc>
        <w:tc>
          <w:tcPr>
            <w:tcW w:type="dxa" w:w="7848"/>
            <w:vAlign w:val="center"/>
            <w:tcMar>
              <w:top w:w="72" w:type="dxa"/>
              <w:start w:w="84" w:type="dxa"/>
              <w:bottom w:w="72" w:type="dxa"/>
              <w:end w:w="84" w:type="dxa"/>
            </w:tcMar>
          </w:tcPr>
          <w:p>
            <w:pPr>
              <w:spacing w:after="0"/>
            </w:pPr>
            <w:r>
              <w:rPr>
                <w:b w:val="0"/>
                <w:sz w:val="15"/>
              </w:rPr>
              <w:t>A prompt, anchor, condition, safeguard, or workload record produced inconsistent interpretation.</w:t>
            </w:r>
          </w:p>
        </w:tc>
      </w:tr>
      <w:tr>
        <w:trPr>
          <w:cantSplit/>
        </w:trPr>
        <w:tc>
          <w:tcPr>
            <w:tcW w:type="dxa" w:w="2376"/>
            <w:vAlign w:val="center"/>
            <w:tcMar>
              <w:top w:w="72" w:type="dxa"/>
              <w:start w:w="84" w:type="dxa"/>
              <w:bottom w:w="72" w:type="dxa"/>
              <w:end w:w="84" w:type="dxa"/>
            </w:tcMar>
            <w:shd w:fill="F4F7F8"/>
          </w:tcPr>
          <w:p>
            <w:pPr>
              <w:spacing w:after="0"/>
            </w:pPr>
            <w:r>
              <w:rPr>
                <w:b/>
                <w:sz w:val="15"/>
              </w:rPr>
              <w:t>Ready for determination</w:t>
            </w:r>
          </w:p>
        </w:tc>
        <w:tc>
          <w:tcPr>
            <w:tcW w:type="dxa" w:w="7848"/>
            <w:vAlign w:val="center"/>
            <w:tcMar>
              <w:top w:w="72" w:type="dxa"/>
              <w:start w:w="84" w:type="dxa"/>
              <w:bottom w:w="72" w:type="dxa"/>
              <w:end w:w="84" w:type="dxa"/>
            </w:tcMar>
            <w:shd w:fill="F4F7F8"/>
          </w:tcPr>
          <w:p>
            <w:pPr>
              <w:spacing w:after="0"/>
            </w:pPr>
            <w:r>
              <w:rPr>
                <w:b w:val="0"/>
                <w:sz w:val="15"/>
              </w:rPr>
              <w:t>The packet is clear enough for the appropriate teaching, legal, privacy, accessibility, and research review.</w:t>
            </w:r>
          </w:p>
        </w:tc>
      </w:tr>
      <w:tr>
        <w:trPr>
          <w:cantSplit/>
        </w:trPr>
        <w:tc>
          <w:tcPr>
            <w:tcW w:type="dxa" w:w="2376"/>
            <w:vAlign w:val="center"/>
            <w:tcMar>
              <w:top w:w="72" w:type="dxa"/>
              <w:start w:w="84" w:type="dxa"/>
              <w:bottom w:w="72" w:type="dxa"/>
              <w:end w:w="84" w:type="dxa"/>
            </w:tcMar>
          </w:tcPr>
          <w:p>
            <w:pPr>
              <w:spacing w:after="0"/>
            </w:pPr>
            <w:r>
              <w:rPr>
                <w:b/>
                <w:sz w:val="15"/>
              </w:rPr>
              <w:t>Pause</w:t>
            </w:r>
          </w:p>
        </w:tc>
        <w:tc>
          <w:tcPr>
            <w:tcW w:type="dxa" w:w="7848"/>
            <w:vAlign w:val="center"/>
            <w:tcMar>
              <w:top w:w="72" w:type="dxa"/>
              <w:start w:w="84" w:type="dxa"/>
              <w:bottom w:w="72" w:type="dxa"/>
              <w:end w:w="84" w:type="dxa"/>
            </w:tcMar>
          </w:tcPr>
          <w:p>
            <w:pPr>
              <w:spacing w:after="0"/>
            </w:pPr>
            <w:r>
              <w:rPr>
                <w:b w:val="0"/>
                <w:sz w:val="15"/>
              </w:rPr>
              <w:t>The course rule, approved tool, privacy control, equivalent alternative, rater capacity, or workload offset is unresolved.</w:t>
            </w:r>
          </w:p>
        </w:tc>
      </w:tr>
    </w:tbl>
    <w:p>
      <w:r>
        <w:br w:type="page"/>
      </w:r>
    </w:p>
    <w:p>
      <w:pPr>
        <w:pStyle w:val="Heading1"/>
      </w:pPr>
      <w:r>
        <w:t>Final evidence judgment and Phase Fourteen handoff</w:t>
      </w:r>
    </w:p>
    <w:p>
      <w:pPr>
        <w:pStyle w:val="Heading2"/>
      </w:pPr>
      <w:r>
        <w:t>Evidence judgment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088"/>
            <w:vAlign w:val="center"/>
            <w:shd w:fill="193F58"/>
            <w:tcMar>
              <w:top w:w="72" w:type="dxa"/>
              <w:start w:w="84" w:type="dxa"/>
              <w:bottom w:w="72" w:type="dxa"/>
              <w:end w:w="84" w:type="dxa"/>
            </w:tcMar>
          </w:tcPr>
          <w:p>
            <w:pPr>
              <w:spacing w:after="0"/>
            </w:pPr>
            <w:r>
              <w:rPr>
                <w:b/>
                <w:color w:val="FFFFFF"/>
                <w:sz w:val="16"/>
              </w:rPr>
              <w:t>Evidence layer</w:t>
            </w:r>
          </w:p>
        </w:tc>
        <w:tc>
          <w:tcPr>
            <w:tcW w:type="dxa" w:w="8136"/>
            <w:vAlign w:val="center"/>
            <w:shd w:fill="193F58"/>
            <w:tcMar>
              <w:top w:w="72" w:type="dxa"/>
              <w:start w:w="84" w:type="dxa"/>
              <w:bottom w:w="72" w:type="dxa"/>
              <w:end w:w="84" w:type="dxa"/>
            </w:tcMar>
          </w:tcPr>
          <w:p>
            <w:pPr>
              <w:spacing w:after="0"/>
            </w:pPr>
            <w:r>
              <w:rPr>
                <w:b/>
                <w:color w:val="FFFFFF"/>
                <w:sz w:val="16"/>
              </w:rPr>
              <w:t>Phase Thirteen result</w:t>
            </w:r>
          </w:p>
        </w:tc>
      </w:tr>
      <w:tr>
        <w:trPr>
          <w:cantSplit/>
        </w:trPr>
        <w:tc>
          <w:tcPr>
            <w:tcW w:type="dxa" w:w="2088"/>
            <w:vAlign w:val="center"/>
            <w:tcMar>
              <w:top w:w="72" w:type="dxa"/>
              <w:start w:w="84" w:type="dxa"/>
              <w:bottom w:w="72" w:type="dxa"/>
              <w:end w:w="84" w:type="dxa"/>
            </w:tcMar>
          </w:tcPr>
          <w:p>
            <w:pPr>
              <w:spacing w:after="0"/>
            </w:pPr>
            <w:r>
              <w:rPr>
                <w:b/>
                <w:sz w:val="16"/>
              </w:rPr>
              <w:t>Claim</w:t>
            </w:r>
          </w:p>
        </w:tc>
        <w:tc>
          <w:tcPr>
            <w:tcW w:type="dxa" w:w="8136"/>
            <w:vAlign w:val="center"/>
            <w:tcMar>
              <w:top w:w="72" w:type="dxa"/>
              <w:start w:w="84" w:type="dxa"/>
              <w:bottom w:w="72" w:type="dxa"/>
              <w:end w:w="84" w:type="dxa"/>
            </w:tcMar>
          </w:tcPr>
          <w:p>
            <w:pPr>
              <w:spacing w:after="0"/>
            </w:pPr>
            <w:r>
              <w:rPr>
                <w:b w:val="0"/>
                <w:sz w:val="16"/>
              </w:rPr>
              <w:t>The Phase Twelve packets specify a human performance chain and a bounded legal critique comparison.</w:t>
            </w:r>
          </w:p>
        </w:tc>
      </w:tr>
      <w:tr>
        <w:trPr>
          <w:cantSplit/>
        </w:trPr>
        <w:tc>
          <w:tcPr>
            <w:tcW w:type="dxa" w:w="2088"/>
            <w:vAlign w:val="center"/>
            <w:tcMar>
              <w:top w:w="72" w:type="dxa"/>
              <w:start w:w="84" w:type="dxa"/>
              <w:bottom w:w="72" w:type="dxa"/>
              <w:end w:w="84" w:type="dxa"/>
            </w:tcMar>
            <w:shd w:fill="F4F7F8"/>
          </w:tcPr>
          <w:p>
            <w:pPr>
              <w:spacing w:after="0"/>
            </w:pPr>
            <w:r>
              <w:rPr>
                <w:b/>
                <w:sz w:val="16"/>
              </w:rPr>
              <w:t>Practice</w:t>
            </w:r>
          </w:p>
        </w:tc>
        <w:tc>
          <w:tcPr>
            <w:tcW w:type="dxa" w:w="8136"/>
            <w:vAlign w:val="center"/>
            <w:tcMar>
              <w:top w:w="72" w:type="dxa"/>
              <w:start w:w="84" w:type="dxa"/>
              <w:bottom w:w="72" w:type="dxa"/>
              <w:end w:w="84" w:type="dxa"/>
            </w:tcMar>
            <w:shd w:fill="F4F7F8"/>
          </w:tcPr>
          <w:p>
            <w:pPr>
              <w:spacing w:after="0"/>
            </w:pPr>
            <w:r>
              <w:rPr>
                <w:b w:val="0"/>
                <w:sz w:val="16"/>
              </w:rPr>
              <w:t>A synthetic dry run completed the forms and exposed points requiring clearer rules.</w:t>
            </w:r>
          </w:p>
        </w:tc>
      </w:tr>
      <w:tr>
        <w:trPr>
          <w:cantSplit/>
        </w:trPr>
        <w:tc>
          <w:tcPr>
            <w:tcW w:type="dxa" w:w="2088"/>
            <w:vAlign w:val="center"/>
            <w:tcMar>
              <w:top w:w="72" w:type="dxa"/>
              <w:start w:w="84" w:type="dxa"/>
              <w:bottom w:w="72" w:type="dxa"/>
              <w:end w:w="84" w:type="dxa"/>
            </w:tcMar>
          </w:tcPr>
          <w:p>
            <w:pPr>
              <w:spacing w:after="0"/>
            </w:pPr>
            <w:r>
              <w:rPr>
                <w:b/>
                <w:sz w:val="16"/>
              </w:rPr>
              <w:t>Immediate result</w:t>
            </w:r>
          </w:p>
        </w:tc>
        <w:tc>
          <w:tcPr>
            <w:tcW w:type="dxa" w:w="8136"/>
            <w:vAlign w:val="center"/>
            <w:tcMar>
              <w:top w:w="72" w:type="dxa"/>
              <w:start w:w="84" w:type="dxa"/>
              <w:bottom w:w="72" w:type="dxa"/>
              <w:end w:w="84" w:type="dxa"/>
            </w:tcMar>
          </w:tcPr>
          <w:p>
            <w:pPr>
              <w:spacing w:after="0"/>
            </w:pPr>
            <w:r>
              <w:rPr>
                <w:b w:val="0"/>
                <w:sz w:val="16"/>
              </w:rPr>
              <w:t>The revised forms can distinguish constructed product quality and identify missing evidence.</w:t>
            </w:r>
          </w:p>
        </w:tc>
      </w:tr>
      <w:tr>
        <w:trPr>
          <w:cantSplit/>
        </w:trPr>
        <w:tc>
          <w:tcPr>
            <w:tcW w:type="dxa" w:w="2088"/>
            <w:vAlign w:val="center"/>
            <w:tcMar>
              <w:top w:w="72" w:type="dxa"/>
              <w:start w:w="84" w:type="dxa"/>
              <w:bottom w:w="72" w:type="dxa"/>
              <w:end w:w="84" w:type="dxa"/>
            </w:tcMar>
            <w:shd w:fill="F4F7F8"/>
          </w:tcPr>
          <w:p>
            <w:pPr>
              <w:spacing w:after="0"/>
            </w:pPr>
            <w:r>
              <w:rPr>
                <w:b/>
                <w:sz w:val="16"/>
              </w:rPr>
              <w:t>Durable result</w:t>
            </w:r>
          </w:p>
        </w:tc>
        <w:tc>
          <w:tcPr>
            <w:tcW w:type="dxa" w:w="8136"/>
            <w:vAlign w:val="center"/>
            <w:tcMar>
              <w:top w:w="72" w:type="dxa"/>
              <w:start w:w="84" w:type="dxa"/>
              <w:bottom w:w="72" w:type="dxa"/>
              <w:end w:w="84" w:type="dxa"/>
            </w:tcMar>
            <w:shd w:fill="F4F7F8"/>
          </w:tcPr>
          <w:p>
            <w:pPr>
              <w:spacing w:after="0"/>
            </w:pPr>
            <w:r>
              <w:rPr>
                <w:b w:val="0"/>
                <w:sz w:val="16"/>
              </w:rPr>
              <w:t>None. No delayed human performance was observed.</w:t>
            </w:r>
          </w:p>
        </w:tc>
      </w:tr>
      <w:tr>
        <w:trPr>
          <w:cantSplit/>
        </w:trPr>
        <w:tc>
          <w:tcPr>
            <w:tcW w:type="dxa" w:w="2088"/>
            <w:vAlign w:val="center"/>
            <w:tcMar>
              <w:top w:w="72" w:type="dxa"/>
              <w:start w:w="84" w:type="dxa"/>
              <w:bottom w:w="72" w:type="dxa"/>
              <w:end w:w="84" w:type="dxa"/>
            </w:tcMar>
          </w:tcPr>
          <w:p>
            <w:pPr>
              <w:spacing w:after="0"/>
            </w:pPr>
            <w:r>
              <w:rPr>
                <w:b/>
                <w:sz w:val="16"/>
              </w:rPr>
              <w:t>Context</w:t>
            </w:r>
          </w:p>
        </w:tc>
        <w:tc>
          <w:tcPr>
            <w:tcW w:type="dxa" w:w="8136"/>
            <w:vAlign w:val="center"/>
            <w:tcMar>
              <w:top w:w="72" w:type="dxa"/>
              <w:start w:w="84" w:type="dxa"/>
              <w:bottom w:w="72" w:type="dxa"/>
              <w:end w:w="84" w:type="dxa"/>
            </w:tcMar>
          </w:tcPr>
          <w:p>
            <w:pPr>
              <w:spacing w:after="0"/>
            </w:pPr>
            <w:r>
              <w:rPr>
                <w:b w:val="0"/>
                <w:sz w:val="16"/>
              </w:rPr>
              <w:t>No institution, educator, or student implemented the packets; workload ranges are planning assumptions.</w:t>
            </w:r>
          </w:p>
        </w:tc>
      </w:tr>
      <w:tr>
        <w:trPr>
          <w:cantSplit/>
        </w:trPr>
        <w:tc>
          <w:tcPr>
            <w:tcW w:type="dxa" w:w="2088"/>
            <w:vAlign w:val="center"/>
            <w:tcMar>
              <w:top w:w="72" w:type="dxa"/>
              <w:start w:w="84" w:type="dxa"/>
              <w:bottom w:w="72" w:type="dxa"/>
              <w:end w:w="84" w:type="dxa"/>
            </w:tcMar>
            <w:shd w:fill="F4F7F8"/>
          </w:tcPr>
          <w:p>
            <w:pPr>
              <w:spacing w:after="0"/>
            </w:pPr>
            <w:r>
              <w:rPr>
                <w:b/>
                <w:sz w:val="16"/>
              </w:rPr>
              <w:t>Gap</w:t>
            </w:r>
          </w:p>
        </w:tc>
        <w:tc>
          <w:tcPr>
            <w:tcW w:type="dxa" w:w="8136"/>
            <w:vAlign w:val="center"/>
            <w:tcMar>
              <w:top w:w="72" w:type="dxa"/>
              <w:start w:w="84" w:type="dxa"/>
              <w:bottom w:w="72" w:type="dxa"/>
              <w:end w:w="84" w:type="dxa"/>
            </w:tcMar>
            <w:shd w:fill="F4F7F8"/>
          </w:tcPr>
          <w:p>
            <w:pPr>
              <w:spacing w:after="0"/>
            </w:pPr>
            <w:r>
              <w:rPr>
                <w:b w:val="0"/>
                <w:sz w:val="16"/>
              </w:rPr>
              <w:t>Human rater reliability, real task equivalence, local authorization, privacy, accessibility, feasibility, retention, and transfer remain unverified.</w:t>
            </w:r>
          </w:p>
        </w:tc>
      </w:tr>
    </w:tbl>
    <w:p>
      <w:pPr>
        <w:pStyle w:val="Heading2"/>
      </w:pPr>
      <w:r>
        <w:t>Phase Fourteen task</w:t>
      </w:r>
    </w:p>
    <w:p>
      <w:r>
        <w:t>Phase Fourteen should create and conduct an educator tabletop review package without contacting institutions or involving students. Reviewers should apply the revised instructions to new synthetic or previously cleared materials, complete the calibration protocol on unseen examples, record workload, and decide whether each packet is ready for the applicable institutional determination.</w:t>
      </w:r>
    </w:p>
    <w:p>
      <w:pPr>
        <w:pStyle w:val="Heading2"/>
      </w:pPr>
      <w:r>
        <w:t>Expansion boundary</w:t>
      </w:r>
    </w:p>
    <w:p>
      <w:pPr>
        <w:pStyle w:val="ListBullet"/>
      </w:pPr>
      <w:r>
        <w:t>Packet A may proceed only after an educator maps it to an existing course activity without changing the institution's ordinary rule.</w:t>
      </w:r>
    </w:p>
    <w:p>
      <w:pPr>
        <w:pStyle w:val="ListBullet"/>
      </w:pPr>
      <w:r>
        <w:t>Packet B may proceed only when the operative course rule expressly permits the exact bounded function and the approved account, privacy terms, and non artificial intelligence alternative are verified.</w:t>
      </w:r>
    </w:p>
    <w:p>
      <w:pPr>
        <w:pStyle w:val="ListBullet"/>
      </w:pPr>
      <w:r>
        <w:t>No institutional score, ranking, learning claim, wellness claim, or causal conclusion may be drawn from the synthetic dry run.</w:t>
      </w:r>
    </w:p>
    <w:p>
      <w:pPr>
        <w:pStyle w:val="ListBullet"/>
      </w:pPr>
      <w:r>
        <w:t>K through 12 student facing artificial intelligence remains paused under the existing developmental safeguard rule.</w:t>
      </w:r>
    </w:p>
    <w:p>
      <w:pPr>
        <w:spacing w:before="100" w:after="40"/>
      </w:pPr>
      <w:r>
        <w:rPr>
          <w:b/>
        </w:rPr>
        <w:t xml:space="preserve">Official sources  </w:t>
      </w:r>
      <w:hyperlink r:id="rId15">
        <w:r>
          <w:rPr>
            <w:color w:val="346685"/>
            <w:u w:val="single"/>
          </w:rPr>
          <w:t>Berkeley Law artificial intelligence policy</w:t>
        </w:r>
      </w:hyperlink>
      <w:r>
        <w:t xml:space="preserve">  |  </w:t>
      </w:r>
      <w:hyperlink r:id="rId16">
        <w:r>
          <w:rPr>
            <w:color w:val="346685"/>
            <w:u w:val="single"/>
          </w:rPr>
          <w:t>Berkeley teaching guidance</w:t>
        </w:r>
      </w:hyperlink>
      <w:r>
        <w:t xml:space="preserve">  |  </w:t>
      </w:r>
      <w:hyperlink r:id="rId17">
        <w:r>
          <w:rPr>
            <w:color w:val="346685"/>
            <w:u w:val="single"/>
          </w:rPr>
          <w:t>Berkeley licensed artificial intelligence tools</w:t>
        </w:r>
      </w:hyperlink>
      <w:r>
        <w:t xml:space="preserve">  |  </w:t>
      </w:r>
      <w:hyperlink r:id="rId9">
        <w:r>
          <w:rPr>
            <w:color w:val="346685"/>
            <w:u w:val="single"/>
          </w:rPr>
          <w:t>Thomas Aquinas College California Code of Conduct</w:t>
        </w:r>
      </w:hyperlink>
    </w:p>
    <w:sectPr w:rsidR="00FC693F" w:rsidRPr="0006063C" w:rsidSect="00034616">
      <w:pgSz w:w="12240" w:h="15840"/>
      <w:pgMar w:top="950" w:right="950" w:bottom="893"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373D4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homasaquinas.edu/students/california-code-conduct" TargetMode="External"/><Relationship Id="rId10" Type="http://schemas.openxmlformats.org/officeDocument/2006/relationships/hyperlink" Target="https://www.thomasaquinas.edu/a-liberating-education/syllabus" TargetMode="External"/><Relationship Id="rId11" Type="http://schemas.openxmlformats.org/officeDocument/2006/relationships/hyperlink" Target="https://studentprivacy.ed.gov/privacy-and-education-technology" TargetMode="External"/><Relationship Id="rId12" Type="http://schemas.openxmlformats.org/officeDocument/2006/relationships/hyperlink" Target="https://www.hhs.gov/ohrp/regulations-and-policy/regulations/45-cfr-46/index.html" TargetMode="External"/><Relationship Id="rId13" Type="http://schemas.openxmlformats.org/officeDocument/2006/relationships/hyperlink" Target="https://oercs.berkeley.edu/appropriate-use-generative-ai-tools" TargetMode="External"/><Relationship Id="rId14" Type="http://schemas.openxmlformats.org/officeDocument/2006/relationships/hyperlink" Target="https://ies.ed.gov/ncee/wwc/Protocols" TargetMode="External"/><Relationship Id="rId15" Type="http://schemas.openxmlformats.org/officeDocument/2006/relationships/hyperlink" Target="https://www.law.berkeley.edu/article/artificial-intelligence-policy-questions-and-answers/" TargetMode="External"/><Relationship Id="rId16" Type="http://schemas.openxmlformats.org/officeDocument/2006/relationships/hyperlink" Target="https://teaching.berkeley.edu/teaching-guides-resources/ai-teaching-learning" TargetMode="External"/><Relationship Id="rId17" Type="http://schemas.openxmlformats.org/officeDocument/2006/relationships/hyperlink" Target="https://ai.berkeley.edu/tools-training/licensed-ai-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Pilot Packet Dry Run Phase Thirteen</dc:title>
  <dc:subject>Synthetic validation and rater calibration preparation</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