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Protected Human-Performance Protocol</w:t>
      </w:r>
    </w:p>
    <w:p>
      <w:pPr>
        <w:spacing w:after="40"/>
      </w:pPr>
      <w:r>
        <w:rPr>
          <w:b/>
          <w:color w:val="194058"/>
          <w:sz w:val="22"/>
        </w:rPr>
        <w:t>Phase Ten  |  Testing what learners can do after AI assistance ends</w:t>
      </w:r>
    </w:p>
    <w:p>
      <w:pPr>
        <w:spacing w:after="160"/>
      </w:pPr>
      <w:r>
        <w:t>Protocol date: September 12, 2026  •  Informational research design  •  No outreach or personal attribution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2" w:type="dxa"/>
              <w:bottom w:w="72" w:type="dxa"/>
              <w:end w:w="82" w:type="dxa"/>
            </w:tcMar>
          </w:tcPr>
          <w:p>
            <w:pPr>
              <w:spacing w:after="0"/>
            </w:pPr>
            <w:r>
              <w:rPr>
                <w:b/>
                <w:color w:val="FFFFFF"/>
                <w:sz w:val="17"/>
              </w:rPr>
              <w:t>Protocol field</w:t>
            </w:r>
          </w:p>
        </w:tc>
        <w:tc>
          <w:tcPr>
            <w:tcW w:type="dxa" w:w="6984"/>
            <w:vAlign w:val="center"/>
            <w:shd w:fill="193F58"/>
            <w:tcMar>
              <w:top w:w="72" w:type="dxa"/>
              <w:start w:w="82" w:type="dxa"/>
              <w:bottom w:w="72" w:type="dxa"/>
              <w:end w:w="82" w:type="dxa"/>
            </w:tcMar>
          </w:tcPr>
          <w:p>
            <w:pPr>
              <w:spacing w:after="0"/>
            </w:pPr>
            <w:r>
              <w:rPr>
                <w:b/>
                <w:color w:val="FFFFFF"/>
                <w:sz w:val="17"/>
              </w:rPr>
              <w:t>Entry</w:t>
            </w:r>
          </w:p>
        </w:tc>
      </w:tr>
      <w:tr>
        <w:trPr>
          <w:cantSplit/>
        </w:trPr>
        <w:tc>
          <w:tcPr>
            <w:tcW w:type="dxa" w:w="3240"/>
            <w:vAlign w:val="center"/>
            <w:tcMar>
              <w:top w:w="72" w:type="dxa"/>
              <w:start w:w="82" w:type="dxa"/>
              <w:bottom w:w="72" w:type="dxa"/>
              <w:end w:w="82" w:type="dxa"/>
            </w:tcMar>
          </w:tcPr>
          <w:p>
            <w:pPr>
              <w:spacing w:after="0"/>
            </w:pPr>
            <w:r>
              <w:rPr>
                <w:b/>
                <w:sz w:val="17"/>
              </w:rPr>
              <w:t>Responsible person</w:t>
            </w:r>
          </w:p>
        </w:tc>
        <w:tc>
          <w:tcPr>
            <w:tcW w:type="dxa" w:w="6984"/>
            <w:vAlign w:val="center"/>
            <w:tcMar>
              <w:top w:w="72" w:type="dxa"/>
              <w:start w:w="82" w:type="dxa"/>
              <w:bottom w:w="72" w:type="dxa"/>
              <w:end w:w="82" w:type="dxa"/>
            </w:tcMar>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7"/>
              </w:rPr>
              <w:t>Institution or program</w:t>
            </w:r>
          </w:p>
        </w:tc>
        <w:tc>
          <w:tcPr>
            <w:tcW w:type="dxa" w:w="6984"/>
            <w:vAlign w:val="center"/>
            <w:tcMar>
              <w:top w:w="72" w:type="dxa"/>
              <w:start w:w="82" w:type="dxa"/>
              <w:bottom w:w="72" w:type="dxa"/>
              <w:end w:w="82" w:type="dxa"/>
            </w:tcMar>
            <w:shd w:fill="F4F7F8"/>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7"/>
              </w:rPr>
              <w:t>Course, grade, or activity</w:t>
            </w:r>
          </w:p>
        </w:tc>
        <w:tc>
          <w:tcPr>
            <w:tcW w:type="dxa" w:w="6984"/>
            <w:vAlign w:val="center"/>
            <w:tcMar>
              <w:top w:w="72" w:type="dxa"/>
              <w:start w:w="82" w:type="dxa"/>
              <w:bottom w:w="72" w:type="dxa"/>
              <w:end w:w="82" w:type="dxa"/>
            </w:tcMar>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7"/>
              </w:rPr>
              <w:t>Review period</w:t>
            </w:r>
          </w:p>
        </w:tc>
        <w:tc>
          <w:tcPr>
            <w:tcW w:type="dxa" w:w="6984"/>
            <w:vAlign w:val="center"/>
            <w:tcMar>
              <w:top w:w="72" w:type="dxa"/>
              <w:start w:w="82" w:type="dxa"/>
              <w:bottom w:w="72" w:type="dxa"/>
              <w:end w:w="82" w:type="dxa"/>
            </w:tcMar>
            <w:shd w:fill="F4F7F8"/>
          </w:tcPr>
          <w:p>
            <w:pPr>
              <w:spacing w:after="0"/>
            </w:pPr>
            <w:r>
              <w:rPr>
                <w:sz w:val="17"/>
              </w:rPr>
              <w:t>________________________________________</w:t>
            </w:r>
          </w:p>
        </w:tc>
      </w:tr>
    </w:tbl>
    <w:p>
      <w:pPr>
        <w:pStyle w:val="Heading1"/>
      </w:pPr>
      <w:r>
        <w:t>Phase Ten conclusion</w:t>
      </w:r>
    </w:p>
    <w:p>
      <w:r>
        <w:t>The central educational question is not whether artificial intelligence can improve a product while it is available. It is whether the learner can later retrieve knowledge, explain reasoning, verify truth, create, judge, and act responsibly without the tool. This protocol therefore separates assisted practice from immediate unaided performance, delayed retention, and transfer to a new problem. It also prevents an institution from receiving evidence credit merely for publishing a policy, licensing a tool, offering a course, or producing impressive group work.</w:t>
      </w:r>
    </w:p>
    <w:p>
      <w:r>
        <w:t>The protocol samples capacities associated with a well-formed mind; it does not reduce the whole person to one score. Knowledge, judgment, intellectual honesty, self-command, moral responsibility, attention, and human relationship must be interpreted together, with limits stated. No wellness or integrity consequence may be automated from the protocol.</w:t>
      </w:r>
    </w:p>
    <w:p>
      <w:pPr>
        <w:pStyle w:val="Heading1"/>
      </w:pPr>
      <w:r>
        <w:t>Required decision before testing</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448"/>
            <w:vAlign w:val="center"/>
            <w:shd w:fill="193F58"/>
            <w:tcMar>
              <w:top w:w="72" w:type="dxa"/>
              <w:start w:w="82" w:type="dxa"/>
              <w:bottom w:w="72" w:type="dxa"/>
              <w:end w:w="82" w:type="dxa"/>
            </w:tcMar>
          </w:tcPr>
          <w:p>
            <w:pPr>
              <w:spacing w:after="0"/>
            </w:pPr>
            <w:r>
              <w:rPr>
                <w:b/>
                <w:color w:val="FFFFFF"/>
                <w:sz w:val="16"/>
              </w:rPr>
              <w:t>Question</w:t>
            </w:r>
          </w:p>
        </w:tc>
        <w:tc>
          <w:tcPr>
            <w:tcW w:type="dxa" w:w="7776"/>
            <w:vAlign w:val="center"/>
            <w:shd w:fill="193F58"/>
            <w:tcMar>
              <w:top w:w="72" w:type="dxa"/>
              <w:start w:w="82" w:type="dxa"/>
              <w:bottom w:w="72" w:type="dxa"/>
              <w:end w:w="82" w:type="dxa"/>
            </w:tcMar>
          </w:tcPr>
          <w:p>
            <w:pPr>
              <w:spacing w:after="0"/>
            </w:pPr>
            <w:r>
              <w:rPr>
                <w:b/>
                <w:color w:val="FFFFFF"/>
                <w:sz w:val="16"/>
              </w:rPr>
              <w:t>Required answer</w:t>
            </w:r>
          </w:p>
        </w:tc>
      </w:tr>
      <w:tr>
        <w:trPr>
          <w:cantSplit/>
        </w:trPr>
        <w:tc>
          <w:tcPr>
            <w:tcW w:type="dxa" w:w="2448"/>
            <w:vAlign w:val="center"/>
            <w:tcMar>
              <w:top w:w="72" w:type="dxa"/>
              <w:start w:w="82" w:type="dxa"/>
              <w:bottom w:w="72" w:type="dxa"/>
              <w:end w:w="82" w:type="dxa"/>
            </w:tcMar>
          </w:tcPr>
          <w:p>
            <w:pPr>
              <w:spacing w:after="0"/>
            </w:pPr>
            <w:r>
              <w:rPr>
                <w:b/>
                <w:sz w:val="16"/>
              </w:rPr>
              <w:t>What is being formed?</w:t>
            </w:r>
          </w:p>
        </w:tc>
        <w:tc>
          <w:tcPr>
            <w:tcW w:type="dxa" w:w="7776"/>
            <w:vAlign w:val="center"/>
            <w:tcMar>
              <w:top w:w="72" w:type="dxa"/>
              <w:start w:w="82" w:type="dxa"/>
              <w:bottom w:w="72" w:type="dxa"/>
              <w:end w:w="82" w:type="dxa"/>
            </w:tcMar>
          </w:tcPr>
          <w:p>
            <w:pPr>
              <w:spacing w:after="0"/>
            </w:pPr>
            <w:r>
              <w:rPr>
                <w:sz w:val="16"/>
              </w:rPr>
              <w:t>Name the exact capacity: recall, explanation, writing, source judgment, quantitative reasoning, coding, creativity, moral judgment, attention, or another defined ability.</w:t>
            </w:r>
          </w:p>
        </w:tc>
      </w:tr>
      <w:tr>
        <w:trPr>
          <w:cantSplit/>
        </w:trPr>
        <w:tc>
          <w:tcPr>
            <w:tcW w:type="dxa" w:w="2448"/>
            <w:vAlign w:val="center"/>
            <w:tcMar>
              <w:top w:w="72" w:type="dxa"/>
              <w:start w:w="82" w:type="dxa"/>
              <w:bottom w:w="72" w:type="dxa"/>
              <w:end w:w="82" w:type="dxa"/>
            </w:tcMar>
            <w:shd w:fill="F4F7F8"/>
          </w:tcPr>
          <w:p>
            <w:pPr>
              <w:spacing w:after="0"/>
            </w:pPr>
            <w:r>
              <w:rPr>
                <w:b/>
                <w:sz w:val="16"/>
              </w:rPr>
              <w:t>What may AI do?</w:t>
            </w:r>
          </w:p>
        </w:tc>
        <w:tc>
          <w:tcPr>
            <w:tcW w:type="dxa" w:w="7776"/>
            <w:vAlign w:val="center"/>
            <w:tcMar>
              <w:top w:w="72" w:type="dxa"/>
              <w:start w:w="82" w:type="dxa"/>
              <w:bottom w:w="72" w:type="dxa"/>
              <w:end w:w="82" w:type="dxa"/>
            </w:tcMar>
            <w:shd w:fill="F4F7F8"/>
          </w:tcPr>
          <w:p>
            <w:pPr>
              <w:spacing w:after="0"/>
            </w:pPr>
            <w:r>
              <w:rPr>
                <w:sz w:val="16"/>
              </w:rPr>
              <w:t>State the tool, account, mode, prompts, permitted stages, disclosure rule, data restrictions, accessibility, and non-AI alternative.</w:t>
            </w:r>
          </w:p>
        </w:tc>
      </w:tr>
      <w:tr>
        <w:trPr>
          <w:cantSplit/>
        </w:trPr>
        <w:tc>
          <w:tcPr>
            <w:tcW w:type="dxa" w:w="2448"/>
            <w:vAlign w:val="center"/>
            <w:tcMar>
              <w:top w:w="72" w:type="dxa"/>
              <w:start w:w="82" w:type="dxa"/>
              <w:bottom w:w="72" w:type="dxa"/>
              <w:end w:w="82" w:type="dxa"/>
            </w:tcMar>
          </w:tcPr>
          <w:p>
            <w:pPr>
              <w:spacing w:after="0"/>
            </w:pPr>
            <w:r>
              <w:rPr>
                <w:b/>
                <w:sz w:val="16"/>
              </w:rPr>
              <w:t>What must remain human?</w:t>
            </w:r>
          </w:p>
        </w:tc>
        <w:tc>
          <w:tcPr>
            <w:tcW w:type="dxa" w:w="7776"/>
            <w:vAlign w:val="center"/>
            <w:tcMar>
              <w:top w:w="72" w:type="dxa"/>
              <w:start w:w="82" w:type="dxa"/>
              <w:bottom w:w="72" w:type="dxa"/>
              <w:end w:w="82" w:type="dxa"/>
            </w:tcMar>
          </w:tcPr>
          <w:p>
            <w:pPr>
              <w:spacing w:after="0"/>
            </w:pPr>
            <w:r>
              <w:rPr>
                <w:sz w:val="16"/>
              </w:rPr>
              <w:t>Identify the first attempt, reading, retrieval, analysis, composition, oral defense, practical work, or judgment that assistance may not replace.</w:t>
            </w:r>
          </w:p>
        </w:tc>
      </w:tr>
      <w:tr>
        <w:trPr>
          <w:cantSplit/>
        </w:trPr>
        <w:tc>
          <w:tcPr>
            <w:tcW w:type="dxa" w:w="2448"/>
            <w:vAlign w:val="center"/>
            <w:tcMar>
              <w:top w:w="72" w:type="dxa"/>
              <w:start w:w="82" w:type="dxa"/>
              <w:bottom w:w="72" w:type="dxa"/>
              <w:end w:w="82" w:type="dxa"/>
            </w:tcMar>
            <w:shd w:fill="F4F7F8"/>
          </w:tcPr>
          <w:p>
            <w:pPr>
              <w:spacing w:after="0"/>
            </w:pPr>
            <w:r>
              <w:rPr>
                <w:b/>
                <w:sz w:val="16"/>
              </w:rPr>
              <w:t>What evidence changes the score?</w:t>
            </w:r>
          </w:p>
        </w:tc>
        <w:tc>
          <w:tcPr>
            <w:tcW w:type="dxa" w:w="7776"/>
            <w:vAlign w:val="center"/>
            <w:tcMar>
              <w:top w:w="72" w:type="dxa"/>
              <w:start w:w="82" w:type="dxa"/>
              <w:bottom w:w="72" w:type="dxa"/>
              <w:end w:w="82" w:type="dxa"/>
            </w:tcMar>
            <w:shd w:fill="F4F7F8"/>
          </w:tcPr>
          <w:p>
            <w:pPr>
              <w:spacing w:after="0"/>
            </w:pPr>
            <w:r>
              <w:rPr>
                <w:sz w:val="16"/>
              </w:rPr>
              <w:t>Predefine the outcome, scoring rule, comparison, delay, subgroup analysis, and threshold for confirmation or revision.</w:t>
            </w:r>
          </w:p>
        </w:tc>
      </w:tr>
    </w:tbl>
    <w:p>
      <w:r>
        <w:br w:type="page"/>
      </w:r>
    </w:p>
    <w:p>
      <w:pPr>
        <w:pStyle w:val="Heading1"/>
      </w:pPr>
      <w:r>
        <w:t>Five-condition performance sequence</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5"/>
              </w:rPr>
              <w:t>Condition</w:t>
            </w:r>
          </w:p>
        </w:tc>
        <w:tc>
          <w:tcPr>
            <w:tcW w:type="dxa" w:w="1757"/>
            <w:vAlign w:val="center"/>
            <w:shd w:fill="193F58"/>
            <w:tcMar>
              <w:top w:w="72" w:type="dxa"/>
              <w:start w:w="82" w:type="dxa"/>
              <w:bottom w:w="72" w:type="dxa"/>
              <w:end w:w="82" w:type="dxa"/>
            </w:tcMar>
          </w:tcPr>
          <w:p>
            <w:pPr>
              <w:spacing w:after="0"/>
            </w:pPr>
            <w:r>
              <w:rPr>
                <w:b/>
                <w:color w:val="FFFFFF"/>
                <w:sz w:val="15"/>
              </w:rPr>
              <w:t>Timing</w:t>
            </w:r>
          </w:p>
        </w:tc>
        <w:tc>
          <w:tcPr>
            <w:tcW w:type="dxa" w:w="3485"/>
            <w:vAlign w:val="center"/>
            <w:shd w:fill="193F58"/>
            <w:tcMar>
              <w:top w:w="72" w:type="dxa"/>
              <w:start w:w="82" w:type="dxa"/>
              <w:bottom w:w="72" w:type="dxa"/>
              <w:end w:w="82" w:type="dxa"/>
            </w:tcMar>
          </w:tcPr>
          <w:p>
            <w:pPr>
              <w:spacing w:after="0"/>
            </w:pPr>
            <w:r>
              <w:rPr>
                <w:b/>
                <w:color w:val="FFFFFF"/>
                <w:sz w:val="15"/>
              </w:rPr>
              <w:t>Administration</w:t>
            </w:r>
          </w:p>
        </w:tc>
        <w:tc>
          <w:tcPr>
            <w:tcW w:type="dxa" w:w="3283"/>
            <w:vAlign w:val="center"/>
            <w:shd w:fill="193F58"/>
            <w:tcMar>
              <w:top w:w="72" w:type="dxa"/>
              <w:start w:w="82" w:type="dxa"/>
              <w:bottom w:w="72" w:type="dxa"/>
              <w:end w:w="82" w:type="dxa"/>
            </w:tcMar>
          </w:tcPr>
          <w:p>
            <w:pPr>
              <w:spacing w:after="0"/>
            </w:pPr>
            <w:r>
              <w:rPr>
                <w:b/>
                <w:color w:val="FFFFFF"/>
                <w:sz w:val="15"/>
              </w:rPr>
              <w:t>Interpretive purpose</w:t>
            </w:r>
          </w:p>
        </w:tc>
      </w:tr>
      <w:tr>
        <w:trPr>
          <w:cantSplit/>
        </w:trPr>
        <w:tc>
          <w:tcPr>
            <w:tcW w:type="dxa" w:w="1699"/>
            <w:vAlign w:val="center"/>
            <w:tcMar>
              <w:top w:w="72" w:type="dxa"/>
              <w:start w:w="82" w:type="dxa"/>
              <w:bottom w:w="72" w:type="dxa"/>
              <w:end w:w="82" w:type="dxa"/>
            </w:tcMar>
          </w:tcPr>
          <w:p>
            <w:pPr>
              <w:spacing w:after="0"/>
            </w:pPr>
            <w:r>
              <w:rPr>
                <w:b/>
                <w:sz w:val="15"/>
              </w:rPr>
              <w:t>C0 — Unaided baseline</w:t>
            </w:r>
          </w:p>
        </w:tc>
        <w:tc>
          <w:tcPr>
            <w:tcW w:type="dxa" w:w="1757"/>
            <w:vAlign w:val="center"/>
            <w:tcMar>
              <w:top w:w="72" w:type="dxa"/>
              <w:start w:w="82" w:type="dxa"/>
              <w:bottom w:w="72" w:type="dxa"/>
              <w:end w:w="82" w:type="dxa"/>
            </w:tcMar>
          </w:tcPr>
          <w:p>
            <w:pPr>
              <w:spacing w:after="0"/>
            </w:pPr>
            <w:r>
              <w:rPr>
                <w:sz w:val="15"/>
              </w:rPr>
              <w:t>Before the intervention</w:t>
            </w:r>
          </w:p>
        </w:tc>
        <w:tc>
          <w:tcPr>
            <w:tcW w:type="dxa" w:w="3485"/>
            <w:vAlign w:val="center"/>
            <w:tcMar>
              <w:top w:w="72" w:type="dxa"/>
              <w:start w:w="82" w:type="dxa"/>
              <w:bottom w:w="72" w:type="dxa"/>
              <w:end w:w="82" w:type="dxa"/>
            </w:tcMar>
          </w:tcPr>
          <w:p>
            <w:pPr>
              <w:spacing w:after="0"/>
            </w:pPr>
            <w:r>
              <w:rPr>
                <w:sz w:val="15"/>
              </w:rPr>
              <w:t>Same-domain task without AI; ordinary approved accommodations remain.</w:t>
            </w:r>
          </w:p>
        </w:tc>
        <w:tc>
          <w:tcPr>
            <w:tcW w:type="dxa" w:w="3283"/>
            <w:vAlign w:val="center"/>
            <w:tcMar>
              <w:top w:w="72" w:type="dxa"/>
              <w:start w:w="82" w:type="dxa"/>
              <w:bottom w:w="72" w:type="dxa"/>
              <w:end w:w="82" w:type="dxa"/>
            </w:tcMar>
          </w:tcPr>
          <w:p>
            <w:pPr>
              <w:spacing w:after="0"/>
            </w:pPr>
            <w:r>
              <w:rPr>
                <w:sz w:val="15"/>
              </w:rPr>
              <w:t>Starting knowledge and skill; baseline equivalence.</w:t>
            </w:r>
          </w:p>
        </w:tc>
      </w:tr>
      <w:tr>
        <w:trPr>
          <w:cantSplit/>
        </w:trPr>
        <w:tc>
          <w:tcPr>
            <w:tcW w:type="dxa" w:w="1699"/>
            <w:vAlign w:val="center"/>
            <w:tcMar>
              <w:top w:w="72" w:type="dxa"/>
              <w:start w:w="82" w:type="dxa"/>
              <w:bottom w:w="72" w:type="dxa"/>
              <w:end w:w="82" w:type="dxa"/>
            </w:tcMar>
            <w:shd w:fill="F4F7F8"/>
          </w:tcPr>
          <w:p>
            <w:pPr>
              <w:spacing w:after="0"/>
            </w:pPr>
            <w:r>
              <w:rPr>
                <w:b/>
                <w:sz w:val="15"/>
              </w:rPr>
              <w:t>C1 — Bounded practice</w:t>
            </w:r>
          </w:p>
        </w:tc>
        <w:tc>
          <w:tcPr>
            <w:tcW w:type="dxa" w:w="1757"/>
            <w:vAlign w:val="center"/>
            <w:tcMar>
              <w:top w:w="72" w:type="dxa"/>
              <w:start w:w="82" w:type="dxa"/>
              <w:bottom w:w="72" w:type="dxa"/>
              <w:end w:w="82" w:type="dxa"/>
            </w:tcMar>
            <w:shd w:fill="F4F7F8"/>
          </w:tcPr>
          <w:p>
            <w:pPr>
              <w:spacing w:after="0"/>
            </w:pPr>
            <w:r>
              <w:rPr>
                <w:sz w:val="15"/>
              </w:rPr>
              <w:t>One to four learning sessions</w:t>
            </w:r>
          </w:p>
        </w:tc>
        <w:tc>
          <w:tcPr>
            <w:tcW w:type="dxa" w:w="3485"/>
            <w:vAlign w:val="center"/>
            <w:tcMar>
              <w:top w:w="72" w:type="dxa"/>
              <w:start w:w="82" w:type="dxa"/>
              <w:bottom w:w="72" w:type="dxa"/>
              <w:end w:w="82" w:type="dxa"/>
            </w:tcMar>
            <w:shd w:fill="F4F7F8"/>
          </w:tcPr>
          <w:p>
            <w:pPr>
              <w:spacing w:after="0"/>
            </w:pPr>
            <w:r>
              <w:rPr>
                <w:sz w:val="15"/>
              </w:rPr>
              <w:t>AI condition is recorded exactly: hints, feedback, critique, source-bounded help, or open generation.</w:t>
            </w:r>
          </w:p>
        </w:tc>
        <w:tc>
          <w:tcPr>
            <w:tcW w:type="dxa" w:w="3283"/>
            <w:vAlign w:val="center"/>
            <w:tcMar>
              <w:top w:w="72" w:type="dxa"/>
              <w:start w:w="82" w:type="dxa"/>
              <w:bottom w:w="72" w:type="dxa"/>
              <w:end w:w="82" w:type="dxa"/>
            </w:tcMar>
            <w:shd w:fill="F4F7F8"/>
          </w:tcPr>
          <w:p>
            <w:pPr>
              <w:spacing w:after="0"/>
            </w:pPr>
            <w:r>
              <w:rPr>
                <w:sz w:val="15"/>
              </w:rPr>
              <w:t>Assisted performance, process, tool reliance, and human support.</w:t>
            </w:r>
          </w:p>
        </w:tc>
      </w:tr>
      <w:tr>
        <w:trPr>
          <w:cantSplit/>
        </w:trPr>
        <w:tc>
          <w:tcPr>
            <w:tcW w:type="dxa" w:w="1699"/>
            <w:vAlign w:val="center"/>
            <w:tcMar>
              <w:top w:w="72" w:type="dxa"/>
              <w:start w:w="82" w:type="dxa"/>
              <w:bottom w:w="72" w:type="dxa"/>
              <w:end w:w="82" w:type="dxa"/>
            </w:tcMar>
          </w:tcPr>
          <w:p>
            <w:pPr>
              <w:spacing w:after="0"/>
            </w:pPr>
            <w:r>
              <w:rPr>
                <w:b/>
                <w:sz w:val="15"/>
              </w:rPr>
              <w:t>C2 — Immediate unaided</w:t>
            </w:r>
          </w:p>
        </w:tc>
        <w:tc>
          <w:tcPr>
            <w:tcW w:type="dxa" w:w="1757"/>
            <w:vAlign w:val="center"/>
            <w:tcMar>
              <w:top w:w="72" w:type="dxa"/>
              <w:start w:w="82" w:type="dxa"/>
              <w:bottom w:w="72" w:type="dxa"/>
              <w:end w:w="82" w:type="dxa"/>
            </w:tcMar>
          </w:tcPr>
          <w:p>
            <w:pPr>
              <w:spacing w:after="0"/>
            </w:pPr>
            <w:r>
              <w:rPr>
                <w:sz w:val="15"/>
              </w:rPr>
              <w:t>Within 24 hours</w:t>
            </w:r>
          </w:p>
        </w:tc>
        <w:tc>
          <w:tcPr>
            <w:tcW w:type="dxa" w:w="3485"/>
            <w:vAlign w:val="center"/>
            <w:tcMar>
              <w:top w:w="72" w:type="dxa"/>
              <w:start w:w="82" w:type="dxa"/>
              <w:bottom w:w="72" w:type="dxa"/>
              <w:end w:w="82" w:type="dxa"/>
            </w:tcMar>
          </w:tcPr>
          <w:p>
            <w:pPr>
              <w:spacing w:after="0"/>
            </w:pPr>
            <w:r>
              <w:rPr>
                <w:sz w:val="15"/>
              </w:rPr>
              <w:t>Parallel task with AI and AI-enabled search removed.</w:t>
            </w:r>
          </w:p>
        </w:tc>
        <w:tc>
          <w:tcPr>
            <w:tcW w:type="dxa" w:w="3283"/>
            <w:vAlign w:val="center"/>
            <w:tcMar>
              <w:top w:w="72" w:type="dxa"/>
              <w:start w:w="82" w:type="dxa"/>
              <w:bottom w:w="72" w:type="dxa"/>
              <w:end w:w="82" w:type="dxa"/>
            </w:tcMar>
          </w:tcPr>
          <w:p>
            <w:pPr>
              <w:spacing w:after="0"/>
            </w:pPr>
            <w:r>
              <w:rPr>
                <w:sz w:val="15"/>
              </w:rPr>
              <w:t>Whether the learner can reproduce the core mental act.</w:t>
            </w:r>
          </w:p>
        </w:tc>
      </w:tr>
      <w:tr>
        <w:trPr>
          <w:cantSplit/>
        </w:trPr>
        <w:tc>
          <w:tcPr>
            <w:tcW w:type="dxa" w:w="1699"/>
            <w:vAlign w:val="center"/>
            <w:tcMar>
              <w:top w:w="72" w:type="dxa"/>
              <w:start w:w="82" w:type="dxa"/>
              <w:bottom w:w="72" w:type="dxa"/>
              <w:end w:w="82" w:type="dxa"/>
            </w:tcMar>
            <w:shd w:fill="F4F7F8"/>
          </w:tcPr>
          <w:p>
            <w:pPr>
              <w:spacing w:after="0"/>
            </w:pPr>
            <w:r>
              <w:rPr>
                <w:b/>
                <w:sz w:val="15"/>
              </w:rPr>
              <w:t>C3 — Delayed retention</w:t>
            </w:r>
          </w:p>
        </w:tc>
        <w:tc>
          <w:tcPr>
            <w:tcW w:type="dxa" w:w="1757"/>
            <w:vAlign w:val="center"/>
            <w:tcMar>
              <w:top w:w="72" w:type="dxa"/>
              <w:start w:w="82" w:type="dxa"/>
              <w:bottom w:w="72" w:type="dxa"/>
              <w:end w:w="82" w:type="dxa"/>
            </w:tcMar>
            <w:shd w:fill="F4F7F8"/>
          </w:tcPr>
          <w:p>
            <w:pPr>
              <w:spacing w:after="0"/>
            </w:pPr>
            <w:r>
              <w:rPr>
                <w:sz w:val="15"/>
              </w:rPr>
              <w:t>Normally 2–4 weeks</w:t>
            </w:r>
          </w:p>
        </w:tc>
        <w:tc>
          <w:tcPr>
            <w:tcW w:type="dxa" w:w="3485"/>
            <w:vAlign w:val="center"/>
            <w:tcMar>
              <w:top w:w="72" w:type="dxa"/>
              <w:start w:w="82" w:type="dxa"/>
              <w:bottom w:w="72" w:type="dxa"/>
              <w:end w:w="82" w:type="dxa"/>
            </w:tcMar>
            <w:shd w:fill="F4F7F8"/>
          </w:tcPr>
          <w:p>
            <w:pPr>
              <w:spacing w:after="0"/>
            </w:pPr>
            <w:r>
              <w:rPr>
                <w:sz w:val="15"/>
              </w:rPr>
              <w:t>Equivalent task with no rehearsal immediately beforehand.</w:t>
            </w:r>
          </w:p>
        </w:tc>
        <w:tc>
          <w:tcPr>
            <w:tcW w:type="dxa" w:w="3283"/>
            <w:vAlign w:val="center"/>
            <w:tcMar>
              <w:top w:w="72" w:type="dxa"/>
              <w:start w:w="82" w:type="dxa"/>
              <w:bottom w:w="72" w:type="dxa"/>
              <w:end w:w="82" w:type="dxa"/>
            </w:tcMar>
            <w:shd w:fill="F4F7F8"/>
          </w:tcPr>
          <w:p>
            <w:pPr>
              <w:spacing w:after="0"/>
            </w:pPr>
            <w:r>
              <w:rPr>
                <w:sz w:val="15"/>
              </w:rPr>
              <w:t>What persists after short-term performance effects fade.</w:t>
            </w:r>
          </w:p>
        </w:tc>
      </w:tr>
      <w:tr>
        <w:trPr>
          <w:cantSplit/>
        </w:trPr>
        <w:tc>
          <w:tcPr>
            <w:tcW w:type="dxa" w:w="1699"/>
            <w:vAlign w:val="center"/>
            <w:tcMar>
              <w:top w:w="72" w:type="dxa"/>
              <w:start w:w="82" w:type="dxa"/>
              <w:bottom w:w="72" w:type="dxa"/>
              <w:end w:w="82" w:type="dxa"/>
            </w:tcMar>
          </w:tcPr>
          <w:p>
            <w:pPr>
              <w:spacing w:after="0"/>
            </w:pPr>
            <w:r>
              <w:rPr>
                <w:b/>
                <w:sz w:val="15"/>
              </w:rPr>
              <w:t>C4 — Novel transfer</w:t>
            </w:r>
          </w:p>
        </w:tc>
        <w:tc>
          <w:tcPr>
            <w:tcW w:type="dxa" w:w="1757"/>
            <w:vAlign w:val="center"/>
            <w:tcMar>
              <w:top w:w="72" w:type="dxa"/>
              <w:start w:w="82" w:type="dxa"/>
              <w:bottom w:w="72" w:type="dxa"/>
              <w:end w:w="82" w:type="dxa"/>
            </w:tcMar>
          </w:tcPr>
          <w:p>
            <w:pPr>
              <w:spacing w:after="0"/>
            </w:pPr>
            <w:r>
              <w:rPr>
                <w:sz w:val="15"/>
              </w:rPr>
              <w:t>Normally 4–8 weeks</w:t>
            </w:r>
          </w:p>
        </w:tc>
        <w:tc>
          <w:tcPr>
            <w:tcW w:type="dxa" w:w="3485"/>
            <w:vAlign w:val="center"/>
            <w:tcMar>
              <w:top w:w="72" w:type="dxa"/>
              <w:start w:w="82" w:type="dxa"/>
              <w:bottom w:w="72" w:type="dxa"/>
              <w:end w:w="82" w:type="dxa"/>
            </w:tcMar>
          </w:tcPr>
          <w:p>
            <w:pPr>
              <w:spacing w:after="0"/>
            </w:pPr>
            <w:r>
              <w:rPr>
                <w:sz w:val="15"/>
              </w:rPr>
              <w:t>New text, problem, dataset, scenario, or audience requiring the same underlying concept.</w:t>
            </w:r>
          </w:p>
        </w:tc>
        <w:tc>
          <w:tcPr>
            <w:tcW w:type="dxa" w:w="3283"/>
            <w:vAlign w:val="center"/>
            <w:tcMar>
              <w:top w:w="72" w:type="dxa"/>
              <w:start w:w="82" w:type="dxa"/>
              <w:bottom w:w="72" w:type="dxa"/>
              <w:end w:w="82" w:type="dxa"/>
            </w:tcMar>
          </w:tcPr>
          <w:p>
            <w:pPr>
              <w:spacing w:after="0"/>
            </w:pPr>
            <w:r>
              <w:rPr>
                <w:sz w:val="15"/>
              </w:rPr>
              <w:t>Whether learning generalizes beyond the practiced form.</w:t>
            </w:r>
          </w:p>
        </w:tc>
      </w:tr>
    </w:tbl>
    <w:p>
      <w:pPr>
        <w:pStyle w:val="Heading1"/>
      </w:pPr>
      <w:r>
        <w:t>AI-use conditions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936"/>
            <w:vAlign w:val="center"/>
            <w:shd w:fill="193F58"/>
            <w:tcMar>
              <w:top w:w="72" w:type="dxa"/>
              <w:start w:w="82" w:type="dxa"/>
              <w:bottom w:w="72" w:type="dxa"/>
              <w:end w:w="82" w:type="dxa"/>
            </w:tcMar>
          </w:tcPr>
          <w:p>
            <w:pPr>
              <w:spacing w:after="0"/>
            </w:pPr>
            <w:r>
              <w:rPr>
                <w:b/>
                <w:color w:val="FFFFFF"/>
                <w:sz w:val="16"/>
              </w:rPr>
              <w:t>Code</w:t>
            </w:r>
          </w:p>
        </w:tc>
        <w:tc>
          <w:tcPr>
            <w:tcW w:type="dxa" w:w="2088"/>
            <w:vAlign w:val="center"/>
            <w:shd w:fill="193F58"/>
            <w:tcMar>
              <w:top w:w="72" w:type="dxa"/>
              <w:start w:w="82" w:type="dxa"/>
              <w:bottom w:w="72" w:type="dxa"/>
              <w:end w:w="82" w:type="dxa"/>
            </w:tcMar>
          </w:tcPr>
          <w:p>
            <w:pPr>
              <w:spacing w:after="0"/>
            </w:pPr>
            <w:r>
              <w:rPr>
                <w:b/>
                <w:color w:val="FFFFFF"/>
                <w:sz w:val="16"/>
              </w:rPr>
              <w:t>Condition</w:t>
            </w:r>
          </w:p>
        </w:tc>
        <w:tc>
          <w:tcPr>
            <w:tcW w:type="dxa" w:w="7200"/>
            <w:vAlign w:val="center"/>
            <w:shd w:fill="193F58"/>
            <w:tcMar>
              <w:top w:w="72" w:type="dxa"/>
              <w:start w:w="82" w:type="dxa"/>
              <w:bottom w:w="72" w:type="dxa"/>
              <w:end w:w="82" w:type="dxa"/>
            </w:tcMar>
          </w:tcPr>
          <w:p>
            <w:pPr>
              <w:spacing w:after="0"/>
            </w:pPr>
            <w:r>
              <w:rPr>
                <w:b/>
                <w:color w:val="FFFFFF"/>
                <w:sz w:val="16"/>
              </w:rPr>
              <w:t>Meaning</w:t>
            </w:r>
          </w:p>
        </w:tc>
      </w:tr>
      <w:tr>
        <w:trPr>
          <w:cantSplit/>
        </w:trPr>
        <w:tc>
          <w:tcPr>
            <w:tcW w:type="dxa" w:w="936"/>
            <w:vAlign w:val="center"/>
            <w:tcMar>
              <w:top w:w="72" w:type="dxa"/>
              <w:start w:w="82" w:type="dxa"/>
              <w:bottom w:w="72" w:type="dxa"/>
              <w:end w:w="82" w:type="dxa"/>
            </w:tcMar>
          </w:tcPr>
          <w:p>
            <w:pPr>
              <w:spacing w:after="0"/>
            </w:pPr>
            <w:r>
              <w:rPr>
                <w:b/>
                <w:sz w:val="16"/>
              </w:rPr>
              <w:t>H0</w:t>
            </w:r>
          </w:p>
        </w:tc>
        <w:tc>
          <w:tcPr>
            <w:tcW w:type="dxa" w:w="2088"/>
            <w:vAlign w:val="center"/>
            <w:tcMar>
              <w:top w:w="72" w:type="dxa"/>
              <w:start w:w="82" w:type="dxa"/>
              <w:bottom w:w="72" w:type="dxa"/>
              <w:end w:w="82" w:type="dxa"/>
            </w:tcMar>
          </w:tcPr>
          <w:p>
            <w:pPr>
              <w:spacing w:after="0"/>
            </w:pPr>
            <w:r>
              <w:rPr>
                <w:sz w:val="16"/>
              </w:rPr>
              <w:t>Human-only</w:t>
            </w:r>
          </w:p>
        </w:tc>
        <w:tc>
          <w:tcPr>
            <w:tcW w:type="dxa" w:w="7200"/>
            <w:vAlign w:val="center"/>
            <w:tcMar>
              <w:top w:w="72" w:type="dxa"/>
              <w:start w:w="82" w:type="dxa"/>
              <w:bottom w:w="72" w:type="dxa"/>
              <w:end w:w="82" w:type="dxa"/>
            </w:tcMar>
          </w:tcPr>
          <w:p>
            <w:pPr>
              <w:spacing w:after="0"/>
            </w:pPr>
            <w:r>
              <w:rPr>
                <w:sz w:val="16"/>
              </w:rPr>
              <w:t>No student-facing AI; ordinary non-AI resources and approved accommodations are documented.</w:t>
            </w:r>
          </w:p>
        </w:tc>
      </w:tr>
      <w:tr>
        <w:trPr>
          <w:cantSplit/>
        </w:trPr>
        <w:tc>
          <w:tcPr>
            <w:tcW w:type="dxa" w:w="936"/>
            <w:vAlign w:val="center"/>
            <w:tcMar>
              <w:top w:w="72" w:type="dxa"/>
              <w:start w:w="82" w:type="dxa"/>
              <w:bottom w:w="72" w:type="dxa"/>
              <w:end w:w="82" w:type="dxa"/>
            </w:tcMar>
            <w:shd w:fill="F4F7F8"/>
          </w:tcPr>
          <w:p>
            <w:pPr>
              <w:spacing w:after="0"/>
            </w:pPr>
            <w:r>
              <w:rPr>
                <w:b/>
                <w:sz w:val="16"/>
              </w:rPr>
              <w:t>H1</w:t>
            </w:r>
          </w:p>
        </w:tc>
        <w:tc>
          <w:tcPr>
            <w:tcW w:type="dxa" w:w="2088"/>
            <w:vAlign w:val="center"/>
            <w:tcMar>
              <w:top w:w="72" w:type="dxa"/>
              <w:start w:w="82" w:type="dxa"/>
              <w:bottom w:w="72" w:type="dxa"/>
              <w:end w:w="82" w:type="dxa"/>
            </w:tcMar>
            <w:shd w:fill="F4F7F8"/>
          </w:tcPr>
          <w:p>
            <w:pPr>
              <w:spacing w:after="0"/>
            </w:pPr>
            <w:r>
              <w:rPr>
                <w:sz w:val="16"/>
              </w:rPr>
              <w:t>Teacher-facing AI</w:t>
            </w:r>
          </w:p>
        </w:tc>
        <w:tc>
          <w:tcPr>
            <w:tcW w:type="dxa" w:w="7200"/>
            <w:vAlign w:val="center"/>
            <w:tcMar>
              <w:top w:w="72" w:type="dxa"/>
              <w:start w:w="82" w:type="dxa"/>
              <w:bottom w:w="72" w:type="dxa"/>
              <w:end w:w="82" w:type="dxa"/>
            </w:tcMar>
            <w:shd w:fill="F4F7F8"/>
          </w:tcPr>
          <w:p>
            <w:pPr>
              <w:spacing w:after="0"/>
            </w:pPr>
            <w:r>
              <w:rPr>
                <w:sz w:val="16"/>
              </w:rPr>
              <w:t>AI may assist planning or feedback preparation, but the student does not interact with it.</w:t>
            </w:r>
          </w:p>
        </w:tc>
      </w:tr>
      <w:tr>
        <w:trPr>
          <w:cantSplit/>
        </w:trPr>
        <w:tc>
          <w:tcPr>
            <w:tcW w:type="dxa" w:w="936"/>
            <w:vAlign w:val="center"/>
            <w:tcMar>
              <w:top w:w="72" w:type="dxa"/>
              <w:start w:w="82" w:type="dxa"/>
              <w:bottom w:w="72" w:type="dxa"/>
              <w:end w:w="82" w:type="dxa"/>
            </w:tcMar>
          </w:tcPr>
          <w:p>
            <w:pPr>
              <w:spacing w:after="0"/>
            </w:pPr>
            <w:r>
              <w:rPr>
                <w:b/>
                <w:sz w:val="16"/>
              </w:rPr>
              <w:t>S1</w:t>
            </w:r>
          </w:p>
        </w:tc>
        <w:tc>
          <w:tcPr>
            <w:tcW w:type="dxa" w:w="2088"/>
            <w:vAlign w:val="center"/>
            <w:tcMar>
              <w:top w:w="72" w:type="dxa"/>
              <w:start w:w="82" w:type="dxa"/>
              <w:bottom w:w="72" w:type="dxa"/>
              <w:end w:w="82" w:type="dxa"/>
            </w:tcMar>
          </w:tcPr>
          <w:p>
            <w:pPr>
              <w:spacing w:after="0"/>
            </w:pPr>
            <w:r>
              <w:rPr>
                <w:sz w:val="16"/>
              </w:rPr>
              <w:t>Bounded student use</w:t>
            </w:r>
          </w:p>
        </w:tc>
        <w:tc>
          <w:tcPr>
            <w:tcW w:type="dxa" w:w="7200"/>
            <w:vAlign w:val="center"/>
            <w:tcMar>
              <w:top w:w="72" w:type="dxa"/>
              <w:start w:w="82" w:type="dxa"/>
              <w:bottom w:w="72" w:type="dxa"/>
              <w:end w:w="82" w:type="dxa"/>
            </w:tcMar>
          </w:tcPr>
          <w:p>
            <w:pPr>
              <w:spacing w:after="0"/>
            </w:pPr>
            <w:r>
              <w:rPr>
                <w:sz w:val="16"/>
              </w:rPr>
              <w:t>A defined tool and function supplies hints, critique, feedback, comparison, or source-bounded assistance without replacing the target act.</w:t>
            </w:r>
          </w:p>
        </w:tc>
      </w:tr>
      <w:tr>
        <w:trPr>
          <w:cantSplit/>
        </w:trPr>
        <w:tc>
          <w:tcPr>
            <w:tcW w:type="dxa" w:w="936"/>
            <w:vAlign w:val="center"/>
            <w:tcMar>
              <w:top w:w="72" w:type="dxa"/>
              <w:start w:w="82" w:type="dxa"/>
              <w:bottom w:w="72" w:type="dxa"/>
              <w:end w:w="82" w:type="dxa"/>
            </w:tcMar>
            <w:shd w:fill="F4F7F8"/>
          </w:tcPr>
          <w:p>
            <w:pPr>
              <w:spacing w:after="0"/>
            </w:pPr>
            <w:r>
              <w:rPr>
                <w:b/>
                <w:sz w:val="16"/>
              </w:rPr>
              <w:t>S2</w:t>
            </w:r>
          </w:p>
        </w:tc>
        <w:tc>
          <w:tcPr>
            <w:tcW w:type="dxa" w:w="2088"/>
            <w:vAlign w:val="center"/>
            <w:tcMar>
              <w:top w:w="72" w:type="dxa"/>
              <w:start w:w="82" w:type="dxa"/>
              <w:bottom w:w="72" w:type="dxa"/>
              <w:end w:w="82" w:type="dxa"/>
            </w:tcMar>
            <w:shd w:fill="F4F7F8"/>
          </w:tcPr>
          <w:p>
            <w:pPr>
              <w:spacing w:after="0"/>
            </w:pPr>
            <w:r>
              <w:rPr>
                <w:sz w:val="16"/>
              </w:rPr>
              <w:t>Open student use</w:t>
            </w:r>
          </w:p>
        </w:tc>
        <w:tc>
          <w:tcPr>
            <w:tcW w:type="dxa" w:w="7200"/>
            <w:vAlign w:val="center"/>
            <w:tcMar>
              <w:top w:w="72" w:type="dxa"/>
              <w:start w:w="82" w:type="dxa"/>
              <w:bottom w:w="72" w:type="dxa"/>
              <w:end w:w="82" w:type="dxa"/>
            </w:tcMar>
            <w:shd w:fill="F4F7F8"/>
          </w:tcPr>
          <w:p>
            <w:pPr>
              <w:spacing w:after="0"/>
            </w:pPr>
            <w:r>
              <w:rPr>
                <w:sz w:val="16"/>
              </w:rPr>
              <w:t>Broad generation or agentic help is permitted under disclosure and verification rules.</w:t>
            </w:r>
          </w:p>
        </w:tc>
      </w:tr>
    </w:tbl>
    <w:p>
      <w:pPr>
        <w:pStyle w:val="Heading1"/>
      </w:pPr>
      <w:r>
        <w:t>Administration rules</w:t>
      </w:r>
    </w:p>
    <w:p>
      <w:pPr>
        <w:pStyle w:val="ListBullet"/>
      </w:pPr>
      <w:r>
        <w:t>Use parallel—not identical—tasks across C0, C2, C3, and C4 so memory of an answer is not mistaken for transfer.</w:t>
      </w:r>
    </w:p>
    <w:p>
      <w:pPr>
        <w:pStyle w:val="ListBullet"/>
      </w:pPr>
      <w:r>
        <w:t>Hold content difficulty, time, scoring, language, and ordinary accommodations as constant as practicable.</w:t>
      </w:r>
    </w:p>
    <w:p>
      <w:pPr>
        <w:pStyle w:val="ListBullet"/>
      </w:pPr>
      <w:r>
        <w:t>Do not withdraw disability-related assistive technology merely because AI is removed; distinguish accommodation from generation of the target work.</w:t>
      </w:r>
    </w:p>
    <w:p>
      <w:pPr>
        <w:pStyle w:val="ListBullet"/>
      </w:pPr>
      <w:r>
        <w:t>Record teacher, tutor, parent, peer, and AI assistance separately. Human mediation is an intervention component, not background noise.</w:t>
      </w:r>
    </w:p>
    <w:p>
      <w:pPr>
        <w:pStyle w:val="ListBullet"/>
      </w:pPr>
      <w:r>
        <w:t>Do not tell students that a protected check is a trap for detecting misconduct. Its purpose is to measure learning, not infer guilt from a performance gap.</w:t>
      </w:r>
    </w:p>
    <w:p>
      <w:r>
        <w:br w:type="page"/>
      </w:r>
    </w:p>
    <w:p>
      <w:pPr>
        <w:pStyle w:val="Heading1"/>
      </w:pPr>
      <w:r>
        <w:t>Developmental administration</w:t>
      </w:r>
    </w:p>
    <w:tbl>
      <w:tblPr>
        <w:tblStyle w:val="TableGrid"/>
        <w:tblW w:type="auto" w:w="0"/>
        <w:jc w:val="center"/>
        <w:tblLayout w:type="fixed"/>
        <w:tblLook w:firstColumn="1" w:firstRow="1" w:lastColumn="0" w:lastRow="0" w:noHBand="0" w:noVBand="1" w:val="04A0"/>
      </w:tblPr>
      <w:tblGrid>
        <w:gridCol w:w="1723"/>
        <w:gridCol w:w="1723"/>
        <w:gridCol w:w="1723"/>
        <w:gridCol w:w="1723"/>
        <w:gridCol w:w="1723"/>
        <w:gridCol w:w="1723"/>
      </w:tblGrid>
      <w:tr>
        <w:trPr>
          <w:tblHeader w:val="true"/>
          <w:cantSplit/>
        </w:trPr>
        <w:tc>
          <w:tcPr>
            <w:tcW w:type="dxa" w:w="1037"/>
            <w:vAlign w:val="center"/>
            <w:shd w:fill="193F58"/>
            <w:tcMar>
              <w:top w:w="72" w:type="dxa"/>
              <w:start w:w="82" w:type="dxa"/>
              <w:bottom w:w="72" w:type="dxa"/>
              <w:end w:w="82" w:type="dxa"/>
            </w:tcMar>
          </w:tcPr>
          <w:p>
            <w:pPr>
              <w:spacing w:after="0"/>
            </w:pPr>
            <w:r>
              <w:rPr>
                <w:b/>
                <w:color w:val="FFFFFF"/>
                <w:sz w:val="14"/>
              </w:rPr>
              <w:t>Band</w:t>
            </w:r>
          </w:p>
        </w:tc>
        <w:tc>
          <w:tcPr>
            <w:tcW w:type="dxa" w:w="2477"/>
            <w:vAlign w:val="center"/>
            <w:shd w:fill="193F58"/>
            <w:tcMar>
              <w:top w:w="72" w:type="dxa"/>
              <w:start w:w="82" w:type="dxa"/>
              <w:bottom w:w="72" w:type="dxa"/>
              <w:end w:w="82" w:type="dxa"/>
            </w:tcMar>
          </w:tcPr>
          <w:p>
            <w:pPr>
              <w:spacing w:after="0"/>
            </w:pPr>
            <w:r>
              <w:rPr>
                <w:b/>
                <w:color w:val="FFFFFF"/>
                <w:sz w:val="14"/>
              </w:rPr>
              <w:t>Protected format</w:t>
            </w:r>
          </w:p>
        </w:tc>
        <w:tc>
          <w:tcPr>
            <w:tcW w:type="dxa" w:w="1094"/>
            <w:vAlign w:val="center"/>
            <w:shd w:fill="193F58"/>
            <w:tcMar>
              <w:top w:w="72" w:type="dxa"/>
              <w:start w:w="82" w:type="dxa"/>
              <w:bottom w:w="72" w:type="dxa"/>
              <w:end w:w="82" w:type="dxa"/>
            </w:tcMar>
          </w:tcPr>
          <w:p>
            <w:pPr>
              <w:spacing w:after="0"/>
            </w:pPr>
            <w:r>
              <w:rPr>
                <w:b/>
                <w:color w:val="FFFFFF"/>
                <w:sz w:val="14"/>
              </w:rPr>
              <w:t>Immediate</w:t>
            </w:r>
          </w:p>
        </w:tc>
        <w:tc>
          <w:tcPr>
            <w:tcW w:type="dxa" w:w="1094"/>
            <w:vAlign w:val="center"/>
            <w:shd w:fill="193F58"/>
            <w:tcMar>
              <w:top w:w="72" w:type="dxa"/>
              <w:start w:w="82" w:type="dxa"/>
              <w:bottom w:w="72" w:type="dxa"/>
              <w:end w:w="82" w:type="dxa"/>
            </w:tcMar>
          </w:tcPr>
          <w:p>
            <w:pPr>
              <w:spacing w:after="0"/>
            </w:pPr>
            <w:r>
              <w:rPr>
                <w:b/>
                <w:color w:val="FFFFFF"/>
                <w:sz w:val="14"/>
              </w:rPr>
              <w:t>Retention</w:t>
            </w:r>
          </w:p>
        </w:tc>
        <w:tc>
          <w:tcPr>
            <w:tcW w:type="dxa" w:w="1613"/>
            <w:vAlign w:val="center"/>
            <w:shd w:fill="193F58"/>
            <w:tcMar>
              <w:top w:w="72" w:type="dxa"/>
              <w:start w:w="82" w:type="dxa"/>
              <w:bottom w:w="72" w:type="dxa"/>
              <w:end w:w="82" w:type="dxa"/>
            </w:tcMar>
          </w:tcPr>
          <w:p>
            <w:pPr>
              <w:spacing w:after="0"/>
            </w:pPr>
            <w:r>
              <w:rPr>
                <w:b/>
                <w:color w:val="FFFFFF"/>
                <w:sz w:val="14"/>
              </w:rPr>
              <w:t>Transfer</w:t>
            </w:r>
          </w:p>
        </w:tc>
        <w:tc>
          <w:tcPr>
            <w:tcW w:type="dxa" w:w="2909"/>
            <w:vAlign w:val="center"/>
            <w:shd w:fill="193F58"/>
            <w:tcMar>
              <w:top w:w="72" w:type="dxa"/>
              <w:start w:w="82" w:type="dxa"/>
              <w:bottom w:w="72" w:type="dxa"/>
              <w:end w:w="82" w:type="dxa"/>
            </w:tcMar>
          </w:tcPr>
          <w:p>
            <w:pPr>
              <w:spacing w:after="0"/>
            </w:pPr>
            <w:r>
              <w:rPr>
                <w:b/>
                <w:color w:val="FFFFFF"/>
                <w:sz w:val="14"/>
              </w:rPr>
              <w:t>Boundary</w:t>
            </w:r>
          </w:p>
        </w:tc>
      </w:tr>
      <w:tr>
        <w:trPr>
          <w:cantSplit/>
        </w:trPr>
        <w:tc>
          <w:tcPr>
            <w:tcW w:type="dxa" w:w="1037"/>
            <w:vAlign w:val="center"/>
            <w:tcMar>
              <w:top w:w="72" w:type="dxa"/>
              <w:start w:w="82" w:type="dxa"/>
              <w:bottom w:w="72" w:type="dxa"/>
              <w:end w:w="82" w:type="dxa"/>
            </w:tcMar>
          </w:tcPr>
          <w:p>
            <w:pPr>
              <w:spacing w:after="0"/>
            </w:pPr>
            <w:r>
              <w:rPr>
                <w:b/>
                <w:sz w:val="14"/>
              </w:rPr>
              <w:t>K–2</w:t>
            </w:r>
          </w:p>
        </w:tc>
        <w:tc>
          <w:tcPr>
            <w:tcW w:type="dxa" w:w="2477"/>
            <w:vAlign w:val="center"/>
            <w:tcMar>
              <w:top w:w="72" w:type="dxa"/>
              <w:start w:w="82" w:type="dxa"/>
              <w:bottom w:w="72" w:type="dxa"/>
              <w:end w:w="82" w:type="dxa"/>
            </w:tcMar>
          </w:tcPr>
          <w:p>
            <w:pPr>
              <w:spacing w:after="0"/>
            </w:pPr>
            <w:r>
              <w:rPr>
                <w:sz w:val="14"/>
              </w:rPr>
              <w:t>Oral, manipulatives, drawing, reading aloud, brief handwriting; 5–15 minutes.</w:t>
            </w:r>
          </w:p>
        </w:tc>
        <w:tc>
          <w:tcPr>
            <w:tcW w:type="dxa" w:w="1094"/>
            <w:vAlign w:val="center"/>
            <w:tcMar>
              <w:top w:w="72" w:type="dxa"/>
              <w:start w:w="82" w:type="dxa"/>
              <w:bottom w:w="72" w:type="dxa"/>
              <w:end w:w="82" w:type="dxa"/>
            </w:tcMar>
          </w:tcPr>
          <w:p>
            <w:pPr>
              <w:spacing w:after="0"/>
            </w:pPr>
            <w:r>
              <w:rPr>
                <w:sz w:val="14"/>
              </w:rPr>
              <w:t>Minutes to 2 days</w:t>
            </w:r>
          </w:p>
        </w:tc>
        <w:tc>
          <w:tcPr>
            <w:tcW w:type="dxa" w:w="1094"/>
            <w:vAlign w:val="center"/>
            <w:tcMar>
              <w:top w:w="72" w:type="dxa"/>
              <w:start w:w="82" w:type="dxa"/>
              <w:bottom w:w="72" w:type="dxa"/>
              <w:end w:w="82" w:type="dxa"/>
            </w:tcMar>
          </w:tcPr>
          <w:p>
            <w:pPr>
              <w:spacing w:after="0"/>
            </w:pPr>
            <w:r>
              <w:rPr>
                <w:sz w:val="14"/>
              </w:rPr>
              <w:t>3–7 days</w:t>
            </w:r>
          </w:p>
        </w:tc>
        <w:tc>
          <w:tcPr>
            <w:tcW w:type="dxa" w:w="1613"/>
            <w:vAlign w:val="center"/>
            <w:tcMar>
              <w:top w:w="72" w:type="dxa"/>
              <w:start w:w="82" w:type="dxa"/>
              <w:bottom w:w="72" w:type="dxa"/>
              <w:end w:w="82" w:type="dxa"/>
            </w:tcMar>
          </w:tcPr>
          <w:p>
            <w:pPr>
              <w:spacing w:after="0"/>
            </w:pPr>
            <w:r>
              <w:rPr>
                <w:sz w:val="14"/>
              </w:rPr>
              <w:t>Concrete variation</w:t>
            </w:r>
          </w:p>
        </w:tc>
        <w:tc>
          <w:tcPr>
            <w:tcW w:type="dxa" w:w="2909"/>
            <w:vAlign w:val="center"/>
            <w:tcMar>
              <w:top w:w="72" w:type="dxa"/>
              <w:start w:w="82" w:type="dxa"/>
              <w:bottom w:w="72" w:type="dxa"/>
              <w:end w:w="82" w:type="dxa"/>
            </w:tcMar>
          </w:tcPr>
          <w:p>
            <w:pPr>
              <w:spacing w:after="0"/>
            </w:pPr>
            <w:r>
              <w:rPr>
                <w:sz w:val="14"/>
              </w:rPr>
              <w:t>Parent permission and child assent when research applies; no open chatbot condition.</w:t>
            </w:r>
          </w:p>
        </w:tc>
      </w:tr>
      <w:tr>
        <w:trPr>
          <w:cantSplit/>
        </w:trPr>
        <w:tc>
          <w:tcPr>
            <w:tcW w:type="dxa" w:w="1037"/>
            <w:vAlign w:val="center"/>
            <w:tcMar>
              <w:top w:w="72" w:type="dxa"/>
              <w:start w:w="82" w:type="dxa"/>
              <w:bottom w:w="72" w:type="dxa"/>
              <w:end w:w="82" w:type="dxa"/>
            </w:tcMar>
            <w:shd w:fill="F4F7F8"/>
          </w:tcPr>
          <w:p>
            <w:pPr>
              <w:spacing w:after="0"/>
            </w:pPr>
            <w:r>
              <w:rPr>
                <w:b/>
                <w:sz w:val="14"/>
              </w:rPr>
              <w:t>Grades 3–5</w:t>
            </w:r>
          </w:p>
        </w:tc>
        <w:tc>
          <w:tcPr>
            <w:tcW w:type="dxa" w:w="2477"/>
            <w:vAlign w:val="center"/>
            <w:tcMar>
              <w:top w:w="72" w:type="dxa"/>
              <w:start w:w="82" w:type="dxa"/>
              <w:bottom w:w="72" w:type="dxa"/>
              <w:end w:w="82" w:type="dxa"/>
            </w:tcMar>
            <w:shd w:fill="F4F7F8"/>
          </w:tcPr>
          <w:p>
            <w:pPr>
              <w:spacing w:after="0"/>
            </w:pPr>
            <w:r>
              <w:rPr>
                <w:sz w:val="14"/>
              </w:rPr>
              <w:t>Recall, oral narration, handwriting, arithmetic, source recognition; 10–25 minutes.</w:t>
            </w:r>
          </w:p>
        </w:tc>
        <w:tc>
          <w:tcPr>
            <w:tcW w:type="dxa" w:w="1094"/>
            <w:vAlign w:val="center"/>
            <w:tcMar>
              <w:top w:w="72" w:type="dxa"/>
              <w:start w:w="82" w:type="dxa"/>
              <w:bottom w:w="72" w:type="dxa"/>
              <w:end w:w="82" w:type="dxa"/>
            </w:tcMar>
            <w:shd w:fill="F4F7F8"/>
          </w:tcPr>
          <w:p>
            <w:pPr>
              <w:spacing w:after="0"/>
            </w:pPr>
            <w:r>
              <w:rPr>
                <w:sz w:val="14"/>
              </w:rPr>
              <w:t>Within 1 day</w:t>
            </w:r>
          </w:p>
        </w:tc>
        <w:tc>
          <w:tcPr>
            <w:tcW w:type="dxa" w:w="1094"/>
            <w:vAlign w:val="center"/>
            <w:tcMar>
              <w:top w:w="72" w:type="dxa"/>
              <w:start w:w="82" w:type="dxa"/>
              <w:bottom w:w="72" w:type="dxa"/>
              <w:end w:w="82" w:type="dxa"/>
            </w:tcMar>
            <w:shd w:fill="F4F7F8"/>
          </w:tcPr>
          <w:p>
            <w:pPr>
              <w:spacing w:after="0"/>
            </w:pPr>
            <w:r>
              <w:rPr>
                <w:sz w:val="14"/>
              </w:rPr>
              <w:t>1–2 weeks</w:t>
            </w:r>
          </w:p>
        </w:tc>
        <w:tc>
          <w:tcPr>
            <w:tcW w:type="dxa" w:w="1613"/>
            <w:vAlign w:val="center"/>
            <w:tcMar>
              <w:top w:w="72" w:type="dxa"/>
              <w:start w:w="82" w:type="dxa"/>
              <w:bottom w:w="72" w:type="dxa"/>
              <w:end w:w="82" w:type="dxa"/>
            </w:tcMar>
            <w:shd w:fill="F4F7F8"/>
          </w:tcPr>
          <w:p>
            <w:pPr>
              <w:spacing w:after="0"/>
            </w:pPr>
            <w:r>
              <w:rPr>
                <w:sz w:val="14"/>
              </w:rPr>
              <w:t>New example or short text</w:t>
            </w:r>
          </w:p>
        </w:tc>
        <w:tc>
          <w:tcPr>
            <w:tcW w:type="dxa" w:w="2909"/>
            <w:vAlign w:val="center"/>
            <w:tcMar>
              <w:top w:w="72" w:type="dxa"/>
              <w:start w:w="82" w:type="dxa"/>
              <w:bottom w:w="72" w:type="dxa"/>
              <w:end w:w="82" w:type="dxa"/>
            </w:tcMar>
            <w:shd w:fill="F4F7F8"/>
          </w:tcPr>
          <w:p>
            <w:pPr>
              <w:spacing w:after="0"/>
            </w:pPr>
            <w:r>
              <w:rPr>
                <w:sz w:val="14"/>
              </w:rPr>
              <w:t>Adult-supervised S1 only; preserve foundational reading, writing, and calculation.</w:t>
            </w:r>
          </w:p>
        </w:tc>
      </w:tr>
      <w:tr>
        <w:trPr>
          <w:cantSplit/>
        </w:trPr>
        <w:tc>
          <w:tcPr>
            <w:tcW w:type="dxa" w:w="1037"/>
            <w:vAlign w:val="center"/>
            <w:tcMar>
              <w:top w:w="72" w:type="dxa"/>
              <w:start w:w="82" w:type="dxa"/>
              <w:bottom w:w="72" w:type="dxa"/>
              <w:end w:w="82" w:type="dxa"/>
            </w:tcMar>
          </w:tcPr>
          <w:p>
            <w:pPr>
              <w:spacing w:after="0"/>
            </w:pPr>
            <w:r>
              <w:rPr>
                <w:b/>
                <w:sz w:val="14"/>
              </w:rPr>
              <w:t>Grades 6–8</w:t>
            </w:r>
          </w:p>
        </w:tc>
        <w:tc>
          <w:tcPr>
            <w:tcW w:type="dxa" w:w="2477"/>
            <w:vAlign w:val="center"/>
            <w:tcMar>
              <w:top w:w="72" w:type="dxa"/>
              <w:start w:w="82" w:type="dxa"/>
              <w:bottom w:w="72" w:type="dxa"/>
              <w:end w:w="82" w:type="dxa"/>
            </w:tcMar>
          </w:tcPr>
          <w:p>
            <w:pPr>
              <w:spacing w:after="0"/>
            </w:pPr>
            <w:r>
              <w:rPr>
                <w:sz w:val="14"/>
              </w:rPr>
              <w:t>Explanation, structured writing, logic, multi-step mathematics, source comparison; 20–40 minutes.</w:t>
            </w:r>
          </w:p>
        </w:tc>
        <w:tc>
          <w:tcPr>
            <w:tcW w:type="dxa" w:w="1094"/>
            <w:vAlign w:val="center"/>
            <w:tcMar>
              <w:top w:w="72" w:type="dxa"/>
              <w:start w:w="82" w:type="dxa"/>
              <w:bottom w:w="72" w:type="dxa"/>
              <w:end w:w="82" w:type="dxa"/>
            </w:tcMar>
          </w:tcPr>
          <w:p>
            <w:pPr>
              <w:spacing w:after="0"/>
            </w:pPr>
            <w:r>
              <w:rPr>
                <w:sz w:val="14"/>
              </w:rPr>
              <w:t>Within 1 day</w:t>
            </w:r>
          </w:p>
        </w:tc>
        <w:tc>
          <w:tcPr>
            <w:tcW w:type="dxa" w:w="1094"/>
            <w:vAlign w:val="center"/>
            <w:tcMar>
              <w:top w:w="72" w:type="dxa"/>
              <w:start w:w="82" w:type="dxa"/>
              <w:bottom w:w="72" w:type="dxa"/>
              <w:end w:w="82" w:type="dxa"/>
            </w:tcMar>
          </w:tcPr>
          <w:p>
            <w:pPr>
              <w:spacing w:after="0"/>
            </w:pPr>
            <w:r>
              <w:rPr>
                <w:sz w:val="14"/>
              </w:rPr>
              <w:t>2–3 weeks</w:t>
            </w:r>
          </w:p>
        </w:tc>
        <w:tc>
          <w:tcPr>
            <w:tcW w:type="dxa" w:w="1613"/>
            <w:vAlign w:val="center"/>
            <w:tcMar>
              <w:top w:w="72" w:type="dxa"/>
              <w:start w:w="82" w:type="dxa"/>
              <w:bottom w:w="72" w:type="dxa"/>
              <w:end w:w="82" w:type="dxa"/>
            </w:tcMar>
          </w:tcPr>
          <w:p>
            <w:pPr>
              <w:spacing w:after="0"/>
            </w:pPr>
            <w:r>
              <w:rPr>
                <w:sz w:val="14"/>
              </w:rPr>
              <w:t>New problem, text, or claim</w:t>
            </w:r>
          </w:p>
        </w:tc>
        <w:tc>
          <w:tcPr>
            <w:tcW w:type="dxa" w:w="2909"/>
            <w:vAlign w:val="center"/>
            <w:tcMar>
              <w:top w:w="72" w:type="dxa"/>
              <w:start w:w="82" w:type="dxa"/>
              <w:bottom w:w="72" w:type="dxa"/>
              <w:end w:w="82" w:type="dxa"/>
            </w:tcMar>
          </w:tcPr>
          <w:p>
            <w:pPr>
              <w:spacing w:after="0"/>
            </w:pPr>
            <w:r>
              <w:rPr>
                <w:sz w:val="14"/>
              </w:rPr>
              <w:t>Age, consent, privacy, parent notice, and non-AI alternative are threshold conditions.</w:t>
            </w:r>
          </w:p>
        </w:tc>
      </w:tr>
      <w:tr>
        <w:trPr>
          <w:cantSplit/>
        </w:trPr>
        <w:tc>
          <w:tcPr>
            <w:tcW w:type="dxa" w:w="1037"/>
            <w:vAlign w:val="center"/>
            <w:tcMar>
              <w:top w:w="72" w:type="dxa"/>
              <w:start w:w="82" w:type="dxa"/>
              <w:bottom w:w="72" w:type="dxa"/>
              <w:end w:w="82" w:type="dxa"/>
            </w:tcMar>
            <w:shd w:fill="F4F7F8"/>
          </w:tcPr>
          <w:p>
            <w:pPr>
              <w:spacing w:after="0"/>
            </w:pPr>
            <w:r>
              <w:rPr>
                <w:b/>
                <w:sz w:val="14"/>
              </w:rPr>
              <w:t>Grades 9–12</w:t>
            </w:r>
          </w:p>
        </w:tc>
        <w:tc>
          <w:tcPr>
            <w:tcW w:type="dxa" w:w="2477"/>
            <w:vAlign w:val="center"/>
            <w:tcMar>
              <w:top w:w="72" w:type="dxa"/>
              <w:start w:w="82" w:type="dxa"/>
              <w:bottom w:w="72" w:type="dxa"/>
              <w:end w:w="82" w:type="dxa"/>
            </w:tcMar>
            <w:shd w:fill="F4F7F8"/>
          </w:tcPr>
          <w:p>
            <w:pPr>
              <w:spacing w:after="0"/>
            </w:pPr>
            <w:r>
              <w:rPr>
                <w:sz w:val="14"/>
              </w:rPr>
              <w:t>Extended writing, oral defense, research verification, quantitative and creative work; 30–60 minutes.</w:t>
            </w:r>
          </w:p>
        </w:tc>
        <w:tc>
          <w:tcPr>
            <w:tcW w:type="dxa" w:w="1094"/>
            <w:vAlign w:val="center"/>
            <w:tcMar>
              <w:top w:w="72" w:type="dxa"/>
              <w:start w:w="82" w:type="dxa"/>
              <w:bottom w:w="72" w:type="dxa"/>
              <w:end w:w="82" w:type="dxa"/>
            </w:tcMar>
            <w:shd w:fill="F4F7F8"/>
          </w:tcPr>
          <w:p>
            <w:pPr>
              <w:spacing w:after="0"/>
            </w:pPr>
            <w:r>
              <w:rPr>
                <w:sz w:val="14"/>
              </w:rPr>
              <w:t>Within 24 hours</w:t>
            </w:r>
          </w:p>
        </w:tc>
        <w:tc>
          <w:tcPr>
            <w:tcW w:type="dxa" w:w="1094"/>
            <w:vAlign w:val="center"/>
            <w:tcMar>
              <w:top w:w="72" w:type="dxa"/>
              <w:start w:w="82" w:type="dxa"/>
              <w:bottom w:w="72" w:type="dxa"/>
              <w:end w:w="82" w:type="dxa"/>
            </w:tcMar>
            <w:shd w:fill="F4F7F8"/>
          </w:tcPr>
          <w:p>
            <w:pPr>
              <w:spacing w:after="0"/>
            </w:pPr>
            <w:r>
              <w:rPr>
                <w:sz w:val="14"/>
              </w:rPr>
              <w:t>2–4 weeks</w:t>
            </w:r>
          </w:p>
        </w:tc>
        <w:tc>
          <w:tcPr>
            <w:tcW w:type="dxa" w:w="1613"/>
            <w:vAlign w:val="center"/>
            <w:tcMar>
              <w:top w:w="72" w:type="dxa"/>
              <w:start w:w="82" w:type="dxa"/>
              <w:bottom w:w="72" w:type="dxa"/>
              <w:end w:w="82" w:type="dxa"/>
            </w:tcMar>
            <w:shd w:fill="F4F7F8"/>
          </w:tcPr>
          <w:p>
            <w:pPr>
              <w:spacing w:after="0"/>
            </w:pPr>
            <w:r>
              <w:rPr>
                <w:sz w:val="14"/>
              </w:rPr>
              <w:t>New domain example or audience</w:t>
            </w:r>
          </w:p>
        </w:tc>
        <w:tc>
          <w:tcPr>
            <w:tcW w:type="dxa" w:w="2909"/>
            <w:vAlign w:val="center"/>
            <w:tcMar>
              <w:top w:w="72" w:type="dxa"/>
              <w:start w:w="82" w:type="dxa"/>
              <w:bottom w:w="72" w:type="dxa"/>
              <w:end w:w="82" w:type="dxa"/>
            </w:tcMar>
            <w:shd w:fill="F4F7F8"/>
          </w:tcPr>
          <w:p>
            <w:pPr>
              <w:spacing w:after="0"/>
            </w:pPr>
            <w:r>
              <w:rPr>
                <w:sz w:val="14"/>
              </w:rPr>
              <w:t>Increase student agency while retaining disclosure, privacy, and protected assessments.</w:t>
            </w:r>
          </w:p>
        </w:tc>
      </w:tr>
      <w:tr>
        <w:trPr>
          <w:cantSplit/>
        </w:trPr>
        <w:tc>
          <w:tcPr>
            <w:tcW w:type="dxa" w:w="1037"/>
            <w:vAlign w:val="center"/>
            <w:tcMar>
              <w:top w:w="72" w:type="dxa"/>
              <w:start w:w="82" w:type="dxa"/>
              <w:bottom w:w="72" w:type="dxa"/>
              <w:end w:w="82" w:type="dxa"/>
            </w:tcMar>
          </w:tcPr>
          <w:p>
            <w:pPr>
              <w:spacing w:after="0"/>
            </w:pPr>
            <w:r>
              <w:rPr>
                <w:b/>
                <w:sz w:val="14"/>
              </w:rPr>
              <w:t>Higher education</w:t>
            </w:r>
          </w:p>
        </w:tc>
        <w:tc>
          <w:tcPr>
            <w:tcW w:type="dxa" w:w="2477"/>
            <w:vAlign w:val="center"/>
            <w:tcMar>
              <w:top w:w="72" w:type="dxa"/>
              <w:start w:w="82" w:type="dxa"/>
              <w:bottom w:w="72" w:type="dxa"/>
              <w:end w:w="82" w:type="dxa"/>
            </w:tcMar>
          </w:tcPr>
          <w:p>
            <w:pPr>
              <w:spacing w:after="0"/>
            </w:pPr>
            <w:r>
              <w:rPr>
                <w:sz w:val="14"/>
              </w:rPr>
              <w:t>Discipline-authentic written, oral, laboratory, clinical, mathematical, coding, or design task.</w:t>
            </w:r>
          </w:p>
        </w:tc>
        <w:tc>
          <w:tcPr>
            <w:tcW w:type="dxa" w:w="1094"/>
            <w:vAlign w:val="center"/>
            <w:tcMar>
              <w:top w:w="72" w:type="dxa"/>
              <w:start w:w="82" w:type="dxa"/>
              <w:bottom w:w="72" w:type="dxa"/>
              <w:end w:w="82" w:type="dxa"/>
            </w:tcMar>
          </w:tcPr>
          <w:p>
            <w:pPr>
              <w:spacing w:after="0"/>
            </w:pPr>
            <w:r>
              <w:rPr>
                <w:sz w:val="14"/>
              </w:rPr>
              <w:t>Within 24 hours</w:t>
            </w:r>
          </w:p>
        </w:tc>
        <w:tc>
          <w:tcPr>
            <w:tcW w:type="dxa" w:w="1094"/>
            <w:vAlign w:val="center"/>
            <w:tcMar>
              <w:top w:w="72" w:type="dxa"/>
              <w:start w:w="82" w:type="dxa"/>
              <w:bottom w:w="72" w:type="dxa"/>
              <w:end w:w="82" w:type="dxa"/>
            </w:tcMar>
          </w:tcPr>
          <w:p>
            <w:pPr>
              <w:spacing w:after="0"/>
            </w:pPr>
            <w:r>
              <w:rPr>
                <w:sz w:val="14"/>
              </w:rPr>
              <w:t>2–4 weeks</w:t>
            </w:r>
          </w:p>
        </w:tc>
        <w:tc>
          <w:tcPr>
            <w:tcW w:type="dxa" w:w="1613"/>
            <w:vAlign w:val="center"/>
            <w:tcMar>
              <w:top w:w="72" w:type="dxa"/>
              <w:start w:w="82" w:type="dxa"/>
              <w:bottom w:w="72" w:type="dxa"/>
              <w:end w:w="82" w:type="dxa"/>
            </w:tcMar>
          </w:tcPr>
          <w:p>
            <w:pPr>
              <w:spacing w:after="0"/>
            </w:pPr>
            <w:r>
              <w:rPr>
                <w:sz w:val="14"/>
              </w:rPr>
              <w:t>New case, dataset, source set, or professional scenario</w:t>
            </w:r>
          </w:p>
        </w:tc>
        <w:tc>
          <w:tcPr>
            <w:tcW w:type="dxa" w:w="2909"/>
            <w:vAlign w:val="center"/>
            <w:tcMar>
              <w:top w:w="72" w:type="dxa"/>
              <w:start w:w="82" w:type="dxa"/>
              <w:bottom w:w="72" w:type="dxa"/>
              <w:end w:w="82" w:type="dxa"/>
            </w:tcMar>
          </w:tcPr>
          <w:p>
            <w:pPr>
              <w:spacing w:after="0"/>
            </w:pPr>
            <w:r>
              <w:rPr>
                <w:sz w:val="14"/>
              </w:rPr>
              <w:t>Course purpose and faculty authority determine the protected act; accommodations remain.</w:t>
            </w:r>
          </w:p>
        </w:tc>
      </w:tr>
    </w:tbl>
    <w:p>
      <w:pPr>
        <w:pStyle w:val="Heading1"/>
      </w:pPr>
      <w:r>
        <w:t>K-through-12 threshold protections</w:t>
      </w:r>
    </w:p>
    <w:p>
      <w:pPr>
        <w:pStyle w:val="ListBullet"/>
      </w:pPr>
      <w:r>
        <w:t>Instructional use and research participation are different. Ordinary classroom assessment may not require research consent, but systematic investigation may require institutional review, parental permission, and affirmative child assent.</w:t>
      </w:r>
    </w:p>
    <w:p>
      <w:pPr>
        <w:pStyle w:val="ListBullet"/>
      </w:pPr>
      <w:r>
        <w:t>A child's silence or failure to object is not affirmative assent. Dissent must be respected when assent is required.</w:t>
      </w:r>
    </w:p>
    <w:p>
      <w:pPr>
        <w:pStyle w:val="ListBullet"/>
      </w:pPr>
      <w:r>
        <w:t>Use the least data necessary. Separate identity from analytic records, limit retention, prohibit secondary model training unless specifically authorized, and prevent vendors from using results for advertising or profiling.</w:t>
      </w:r>
    </w:p>
    <w:p>
      <w:pPr>
        <w:pStyle w:val="ListBullet"/>
      </w:pPr>
      <w:r>
        <w:t>No child should lose instruction, opportunity, or accommodation for declining an optional AI or research condition; provide a genuine non-AI alternative.</w:t>
      </w:r>
    </w:p>
    <w:p>
      <w:pPr>
        <w:pStyle w:val="ListBullet"/>
      </w:pPr>
      <w:r>
        <w:t>Wellness questions must not become covert diagnosis, discipline, or emotional surveillance. Concerning disclosures require a human safeguarding process defined in advance.</w:t>
      </w:r>
    </w:p>
    <w:p>
      <w:pPr>
        <w:spacing w:before="100" w:after="40"/>
      </w:pPr>
      <w:r>
        <w:rPr>
          <w:b/>
        </w:rPr>
        <w:t xml:space="preserve">Method sources  </w:t>
      </w:r>
      <w:hyperlink r:id="rId9">
        <w:r>
          <w:rPr>
            <w:color w:val="346685"/>
            <w:u w:val="single"/>
          </w:rPr>
          <w:t>HHS Subpart D</w:t>
        </w:r>
      </w:hyperlink>
      <w:r>
        <w:t xml:space="preserve">  |  </w:t>
      </w:r>
      <w:hyperlink r:id="rId10">
        <w:r>
          <w:rPr>
            <w:color w:val="346685"/>
            <w:u w:val="single"/>
          </w:rPr>
          <w:t>HHS children research FAQ</w:t>
        </w:r>
      </w:hyperlink>
      <w:r>
        <w:t xml:space="preserve">  |  </w:t>
      </w:r>
      <w:hyperlink r:id="rId11">
        <w:r>
          <w:rPr>
            <w:color w:val="346685"/>
            <w:u w:val="single"/>
          </w:rPr>
          <w:t>Education technology privacy</w:t>
        </w:r>
      </w:hyperlink>
    </w:p>
    <w:p>
      <w:r>
        <w:br w:type="page"/>
      </w:r>
    </w:p>
    <w:p>
      <w:pPr>
        <w:pStyle w:val="Heading1"/>
      </w:pPr>
      <w:r>
        <w:t>Core domain 1  Memory and foundational knowledge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Accurate retrieval of knowledge required for later reasoning rather than mere recognition or ability to relocate information.</w:t>
            </w:r>
          </w:p>
        </w:tc>
      </w:tr>
      <w:tr>
        <w:trPr>
          <w:cantSplit/>
        </w:trPr>
        <w:tc>
          <w:tcPr>
            <w:tcW w:type="dxa" w:w="1699"/>
            <w:vAlign w:val="center"/>
            <w:tcMar>
              <w:top w:w="72" w:type="dxa"/>
              <w:start w:w="82" w:type="dxa"/>
              <w:bottom w:w="72" w:type="dxa"/>
              <w:end w:w="82" w:type="dxa"/>
            </w:tcMar>
            <w:shd w:fill="F4F7F8"/>
          </w:tcPr>
          <w:p>
            <w:pPr>
              <w:spacing w:after="0"/>
            </w:pPr>
            <w:r>
              <w:rPr>
                <w:b/>
                <w:sz w:val="16"/>
              </w:rPr>
              <w:t>C0</w:t>
            </w:r>
          </w:p>
        </w:tc>
        <w:tc>
          <w:tcPr>
            <w:tcW w:type="dxa" w:w="8525"/>
            <w:vAlign w:val="center"/>
            <w:tcMar>
              <w:top w:w="72" w:type="dxa"/>
              <w:start w:w="82" w:type="dxa"/>
              <w:bottom w:w="72" w:type="dxa"/>
              <w:end w:w="82" w:type="dxa"/>
            </w:tcMar>
            <w:shd w:fill="F4F7F8"/>
          </w:tcPr>
          <w:p>
            <w:pPr>
              <w:spacing w:after="0"/>
            </w:pPr>
            <w:r>
              <w:rPr>
                <w:sz w:val="16"/>
              </w:rPr>
              <w:t>Short free recall, cued recall, oral narration, or calculation from previously taught material.</w:t>
            </w:r>
          </w:p>
        </w:tc>
      </w:tr>
      <w:tr>
        <w:trPr>
          <w:cantSplit/>
        </w:trPr>
        <w:tc>
          <w:tcPr>
            <w:tcW w:type="dxa" w:w="1699"/>
            <w:vAlign w:val="center"/>
            <w:tcMar>
              <w:top w:w="72" w:type="dxa"/>
              <w:start w:w="82" w:type="dxa"/>
              <w:bottom w:w="72" w:type="dxa"/>
              <w:end w:w="82" w:type="dxa"/>
            </w:tcMar>
          </w:tcPr>
          <w:p>
            <w:pPr>
              <w:spacing w:after="0"/>
            </w:pPr>
            <w:r>
              <w:rPr>
                <w:b/>
                <w:sz w:val="16"/>
              </w:rPr>
              <w:t>C1</w:t>
            </w:r>
          </w:p>
        </w:tc>
        <w:tc>
          <w:tcPr>
            <w:tcW w:type="dxa" w:w="8525"/>
            <w:vAlign w:val="center"/>
            <w:tcMar>
              <w:top w:w="72" w:type="dxa"/>
              <w:start w:w="82" w:type="dxa"/>
              <w:bottom w:w="72" w:type="dxa"/>
              <w:end w:w="82" w:type="dxa"/>
            </w:tcMar>
          </w:tcPr>
          <w:p>
            <w:pPr>
              <w:spacing w:after="0"/>
            </w:pPr>
            <w:r>
              <w:rPr>
                <w:sz w:val="16"/>
              </w:rPr>
              <w:t>Record whether AI retrieves facts, organizes them, prompts recall, or merely checks a student-produced answer.</w:t>
            </w:r>
          </w:p>
        </w:tc>
      </w:tr>
      <w:tr>
        <w:trPr>
          <w:cantSplit/>
        </w:trPr>
        <w:tc>
          <w:tcPr>
            <w:tcW w:type="dxa" w:w="1699"/>
            <w:vAlign w:val="center"/>
            <w:tcMar>
              <w:top w:w="72" w:type="dxa"/>
              <w:start w:w="82" w:type="dxa"/>
              <w:bottom w:w="72" w:type="dxa"/>
              <w:end w:w="82" w:type="dxa"/>
            </w:tcMar>
            <w:shd w:fill="F4F7F8"/>
          </w:tcPr>
          <w:p>
            <w:pPr>
              <w:spacing w:after="0"/>
            </w:pPr>
            <w:r>
              <w:rPr>
                <w:b/>
                <w:sz w:val="16"/>
              </w:rPr>
              <w:t>C2/C3</w:t>
            </w:r>
          </w:p>
        </w:tc>
        <w:tc>
          <w:tcPr>
            <w:tcW w:type="dxa" w:w="8525"/>
            <w:vAlign w:val="center"/>
            <w:tcMar>
              <w:top w:w="72" w:type="dxa"/>
              <w:start w:w="82" w:type="dxa"/>
              <w:bottom w:w="72" w:type="dxa"/>
              <w:end w:w="82" w:type="dxa"/>
            </w:tcMar>
            <w:shd w:fill="F4F7F8"/>
          </w:tcPr>
          <w:p>
            <w:pPr>
              <w:spacing w:after="0"/>
            </w:pPr>
            <w:r>
              <w:rPr>
                <w:sz w:val="16"/>
              </w:rPr>
              <w:t>Use parallel questions with no AI-enabled search. Score correct ideas, important omissions, misconceptions, and confidence calibration.</w:t>
            </w:r>
          </w:p>
        </w:tc>
      </w:tr>
      <w:tr>
        <w:trPr>
          <w:cantSplit/>
        </w:trPr>
        <w:tc>
          <w:tcPr>
            <w:tcW w:type="dxa" w:w="1699"/>
            <w:vAlign w:val="center"/>
            <w:tcMar>
              <w:top w:w="72" w:type="dxa"/>
              <w:start w:w="82" w:type="dxa"/>
              <w:bottom w:w="72" w:type="dxa"/>
              <w:end w:w="82" w:type="dxa"/>
            </w:tcMar>
          </w:tcPr>
          <w:p>
            <w:pPr>
              <w:spacing w:after="0"/>
            </w:pPr>
            <w:r>
              <w:rPr>
                <w:b/>
                <w:sz w:val="16"/>
              </w:rPr>
              <w:t>C4</w:t>
            </w:r>
          </w:p>
        </w:tc>
        <w:tc>
          <w:tcPr>
            <w:tcW w:type="dxa" w:w="8525"/>
            <w:vAlign w:val="center"/>
            <w:tcMar>
              <w:top w:w="72" w:type="dxa"/>
              <w:start w:w="82" w:type="dxa"/>
              <w:bottom w:w="72" w:type="dxa"/>
              <w:end w:w="82" w:type="dxa"/>
            </w:tcMar>
          </w:tcPr>
          <w:p>
            <w:pPr>
              <w:spacing w:after="0"/>
            </w:pPr>
            <w:r>
              <w:rPr>
                <w:sz w:val="16"/>
              </w:rPr>
              <w:t>Require use of retained knowledge inside a new explanation, argument, calculation, or practical problem.</w:t>
            </w:r>
          </w:p>
        </w:tc>
      </w:tr>
      <w:tr>
        <w:trPr>
          <w:cantSplit/>
        </w:trPr>
        <w:tc>
          <w:tcPr>
            <w:tcW w:type="dxa" w:w="1699"/>
            <w:vAlign w:val="center"/>
            <w:tcMar>
              <w:top w:w="72" w:type="dxa"/>
              <w:start w:w="82" w:type="dxa"/>
              <w:bottom w:w="72" w:type="dxa"/>
              <w:end w:w="82" w:type="dxa"/>
            </w:tcMar>
            <w:shd w:fill="F4F7F8"/>
          </w:tcPr>
          <w:p>
            <w:pPr>
              <w:spacing w:after="0"/>
            </w:pPr>
            <w:r>
              <w:rPr>
                <w:b/>
                <w:sz w:val="16"/>
              </w:rPr>
              <w:t>Failure signal</w:t>
            </w:r>
          </w:p>
        </w:tc>
        <w:tc>
          <w:tcPr>
            <w:tcW w:type="dxa" w:w="8525"/>
            <w:vAlign w:val="center"/>
            <w:tcMar>
              <w:top w:w="72" w:type="dxa"/>
              <w:start w:w="82" w:type="dxa"/>
              <w:bottom w:w="72" w:type="dxa"/>
              <w:end w:w="82" w:type="dxa"/>
            </w:tcMar>
            <w:shd w:fill="F4F7F8"/>
          </w:tcPr>
          <w:p>
            <w:pPr>
              <w:spacing w:after="0"/>
            </w:pPr>
            <w:r>
              <w:rPr>
                <w:sz w:val="16"/>
              </w:rPr>
              <w:t>High assisted accuracy followed by weak unaided recall or inability to use the knowledge in a new task.</w:t>
            </w:r>
          </w:p>
        </w:tc>
      </w:tr>
    </w:tbl>
    <w:p>
      <w:pPr>
        <w:pStyle w:val="Heading1"/>
      </w:pPr>
      <w:r>
        <w:t>Core domain 2  Reading and source judgment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Close reading, claim identification, source evaluation, corroboration, context, and recognition of uncertainty or fabrication.</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Provide a short primary text and a conflicting or misleading source. Require annotation, claim-evidence mapping, credibility judgment, and citation verification without AI.</w:t>
            </w:r>
          </w:p>
        </w:tc>
      </w:tr>
      <w:tr>
        <w:trPr>
          <w:cantSplit/>
        </w:trPr>
        <w:tc>
          <w:tcPr>
            <w:tcW w:type="dxa" w:w="1699"/>
            <w:vAlign w:val="center"/>
            <w:tcMar>
              <w:top w:w="72" w:type="dxa"/>
              <w:start w:w="82" w:type="dxa"/>
              <w:bottom w:w="72" w:type="dxa"/>
              <w:end w:w="82" w:type="dxa"/>
            </w:tcMar>
          </w:tcPr>
          <w:p>
            <w:pPr>
              <w:spacing w:after="0"/>
            </w:pPr>
            <w:r>
              <w:rPr>
                <w:b/>
                <w:sz w:val="16"/>
              </w:rPr>
              <w:t>Transfer</w:t>
            </w:r>
          </w:p>
        </w:tc>
        <w:tc>
          <w:tcPr>
            <w:tcW w:type="dxa" w:w="8525"/>
            <w:vAlign w:val="center"/>
            <w:tcMar>
              <w:top w:w="72" w:type="dxa"/>
              <w:start w:w="82" w:type="dxa"/>
              <w:bottom w:w="72" w:type="dxa"/>
              <w:end w:w="82" w:type="dxa"/>
            </w:tcMar>
          </w:tcPr>
          <w:p>
            <w:pPr>
              <w:spacing w:after="0"/>
            </w:pPr>
            <w:r>
              <w:rPr>
                <w:sz w:val="16"/>
              </w:rPr>
              <w:t>Use a new topic and source type so familiarity with content cannot substitute for the evaluation method.</w:t>
            </w:r>
          </w:p>
        </w:tc>
      </w:tr>
      <w:tr>
        <w:trPr>
          <w:cantSplit/>
        </w:trPr>
        <w:tc>
          <w:tcPr>
            <w:tcW w:type="dxa" w:w="1699"/>
            <w:vAlign w:val="center"/>
            <w:tcMar>
              <w:top w:w="72" w:type="dxa"/>
              <w:start w:w="82" w:type="dxa"/>
              <w:bottom w:w="72" w:type="dxa"/>
              <w:end w:w="82" w:type="dxa"/>
            </w:tcMar>
            <w:shd w:fill="F4F7F8"/>
          </w:tcPr>
          <w:p>
            <w:pPr>
              <w:spacing w:after="0"/>
            </w:pPr>
            <w:r>
              <w:rPr>
                <w:b/>
                <w:sz w:val="16"/>
              </w:rPr>
              <w:t>Scoring</w:t>
            </w:r>
          </w:p>
        </w:tc>
        <w:tc>
          <w:tcPr>
            <w:tcW w:type="dxa" w:w="8525"/>
            <w:vAlign w:val="center"/>
            <w:tcMar>
              <w:top w:w="72" w:type="dxa"/>
              <w:start w:w="82" w:type="dxa"/>
              <w:bottom w:w="72" w:type="dxa"/>
              <w:end w:w="82" w:type="dxa"/>
            </w:tcMar>
            <w:shd w:fill="F4F7F8"/>
          </w:tcPr>
          <w:p>
            <w:pPr>
              <w:spacing w:after="0"/>
            </w:pPr>
            <w:r>
              <w:rPr>
                <w:sz w:val="16"/>
              </w:rPr>
              <w:t>Accuracy of claims, quality of evidence, source provenance, counterevidence, uncertainty, and correction of false or unsupported statements.</w:t>
            </w:r>
          </w:p>
        </w:tc>
      </w:tr>
    </w:tbl>
    <w:p>
      <w:pPr>
        <w:pStyle w:val="Heading1"/>
      </w:pPr>
      <w:r>
        <w:t>Core domain 3  Writing and authorship</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Idea formation, organization, evidence, sentence-level control, revision judgment, voice, and truthful disclosure of assistance.</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Use an in-class or supervised paragraph, memo, proof explanation, or essay segment tied to the same concept as the assisted work.</w:t>
            </w:r>
          </w:p>
        </w:tc>
      </w:tr>
      <w:tr>
        <w:trPr>
          <w:cantSplit/>
        </w:trPr>
        <w:tc>
          <w:tcPr>
            <w:tcW w:type="dxa" w:w="1699"/>
            <w:vAlign w:val="center"/>
            <w:tcMar>
              <w:top w:w="72" w:type="dxa"/>
              <w:start w:w="82" w:type="dxa"/>
              <w:bottom w:w="72" w:type="dxa"/>
              <w:end w:w="82" w:type="dxa"/>
            </w:tcMar>
          </w:tcPr>
          <w:p>
            <w:pPr>
              <w:spacing w:after="0"/>
            </w:pPr>
            <w:r>
              <w:rPr>
                <w:b/>
                <w:sz w:val="16"/>
              </w:rPr>
              <w:t>Authorship check</w:t>
            </w:r>
          </w:p>
        </w:tc>
        <w:tc>
          <w:tcPr>
            <w:tcW w:type="dxa" w:w="8525"/>
            <w:vAlign w:val="center"/>
            <w:tcMar>
              <w:top w:w="72" w:type="dxa"/>
              <w:start w:w="82" w:type="dxa"/>
              <w:bottom w:w="72" w:type="dxa"/>
              <w:end w:w="82" w:type="dxa"/>
            </w:tcMar>
          </w:tcPr>
          <w:p>
            <w:pPr>
              <w:spacing w:after="0"/>
            </w:pPr>
            <w:r>
              <w:rPr>
                <w:sz w:val="16"/>
              </w:rPr>
              <w:t>Ask the learner to explain the thesis, reconstruct one decision, identify what changed after feedback, and revise a new passage without AI.</w:t>
            </w:r>
          </w:p>
        </w:tc>
      </w:tr>
      <w:tr>
        <w:trPr>
          <w:cantSplit/>
        </w:trPr>
        <w:tc>
          <w:tcPr>
            <w:tcW w:type="dxa" w:w="1699"/>
            <w:vAlign w:val="center"/>
            <w:tcMar>
              <w:top w:w="72" w:type="dxa"/>
              <w:start w:w="82" w:type="dxa"/>
              <w:bottom w:w="72" w:type="dxa"/>
              <w:end w:w="82" w:type="dxa"/>
            </w:tcMar>
            <w:shd w:fill="F4F7F8"/>
          </w:tcPr>
          <w:p>
            <w:pPr>
              <w:spacing w:after="0"/>
            </w:pPr>
            <w:r>
              <w:rPr>
                <w:b/>
                <w:sz w:val="16"/>
              </w:rPr>
              <w:t>Scoring</w:t>
            </w:r>
          </w:p>
        </w:tc>
        <w:tc>
          <w:tcPr>
            <w:tcW w:type="dxa" w:w="8525"/>
            <w:vAlign w:val="center"/>
            <w:tcMar>
              <w:top w:w="72" w:type="dxa"/>
              <w:start w:w="82" w:type="dxa"/>
              <w:bottom w:w="72" w:type="dxa"/>
              <w:end w:w="82" w:type="dxa"/>
            </w:tcMar>
            <w:shd w:fill="F4F7F8"/>
          </w:tcPr>
          <w:p>
            <w:pPr>
              <w:spacing w:after="0"/>
            </w:pPr>
            <w:r>
              <w:rPr>
                <w:sz w:val="16"/>
              </w:rPr>
              <w:t>Reasoning and evidence are scored separately from fluency. A polished assisted product cannot offset inability to explain or reproduce its core argument.</w:t>
            </w:r>
          </w:p>
        </w:tc>
      </w:tr>
    </w:tbl>
    <w:p>
      <w:pPr>
        <w:spacing w:before="100" w:after="40"/>
      </w:pPr>
      <w:r>
        <w:rPr>
          <w:b/>
        </w:rPr>
        <w:t xml:space="preserve">Method sources  </w:t>
      </w:r>
      <w:hyperlink r:id="rId12">
        <w:r>
          <w:rPr>
            <w:color w:val="346685"/>
            <w:u w:val="single"/>
          </w:rPr>
          <w:t>Retrieval-practice study</w:t>
        </w:r>
      </w:hyperlink>
      <w:r>
        <w:t xml:space="preserve">  |  </w:t>
      </w:r>
      <w:hyperlink r:id="rId13">
        <w:r>
          <w:rPr>
            <w:color w:val="346685"/>
            <w:u w:val="single"/>
          </w:rPr>
          <w:t>Google-effects study</w:t>
        </w:r>
      </w:hyperlink>
    </w:p>
    <w:p>
      <w:r>
        <w:br w:type="page"/>
      </w:r>
    </w:p>
    <w:p>
      <w:pPr>
        <w:pStyle w:val="Heading1"/>
      </w:pPr>
      <w:r>
        <w:t>Core domain 4  Oral explanation and dialogue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Coherent explanation, responsive reasoning, listening, objection handling, self-correction, and ownership of conclusions.</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Three to eight minutes of questioning: explain the central idea, answer an objection, apply it to a new example, and identify one limit or uncertainty.</w:t>
            </w:r>
          </w:p>
        </w:tc>
      </w:tr>
      <w:tr>
        <w:trPr>
          <w:cantSplit/>
        </w:trPr>
        <w:tc>
          <w:tcPr>
            <w:tcW w:type="dxa" w:w="1699"/>
            <w:vAlign w:val="center"/>
            <w:tcMar>
              <w:top w:w="72" w:type="dxa"/>
              <w:start w:w="82" w:type="dxa"/>
              <w:bottom w:w="72" w:type="dxa"/>
              <w:end w:w="82" w:type="dxa"/>
            </w:tcMar>
          </w:tcPr>
          <w:p>
            <w:pPr>
              <w:spacing w:after="0"/>
            </w:pPr>
            <w:r>
              <w:rPr>
                <w:b/>
                <w:sz w:val="16"/>
              </w:rPr>
              <w:t>Safeguard</w:t>
            </w:r>
          </w:p>
        </w:tc>
        <w:tc>
          <w:tcPr>
            <w:tcW w:type="dxa" w:w="8525"/>
            <w:vAlign w:val="center"/>
            <w:tcMar>
              <w:top w:w="72" w:type="dxa"/>
              <w:start w:w="82" w:type="dxa"/>
              <w:bottom w:w="72" w:type="dxa"/>
              <w:end w:w="82" w:type="dxa"/>
            </w:tcMar>
          </w:tcPr>
          <w:p>
            <w:pPr>
              <w:spacing w:after="0"/>
            </w:pPr>
            <w:r>
              <w:rPr>
                <w:sz w:val="16"/>
              </w:rPr>
              <w:t>Use a short standardized prompt set and allow appropriate communication accommodations; do not equate verbal speed, accent, or extroversion with understanding.</w:t>
            </w:r>
          </w:p>
        </w:tc>
      </w:tr>
      <w:tr>
        <w:trPr>
          <w:cantSplit/>
        </w:trPr>
        <w:tc>
          <w:tcPr>
            <w:tcW w:type="dxa" w:w="1699"/>
            <w:vAlign w:val="center"/>
            <w:tcMar>
              <w:top w:w="72" w:type="dxa"/>
              <w:start w:w="82" w:type="dxa"/>
              <w:bottom w:w="72" w:type="dxa"/>
              <w:end w:w="82" w:type="dxa"/>
            </w:tcMar>
            <w:shd w:fill="F4F7F8"/>
          </w:tcPr>
          <w:p>
            <w:pPr>
              <w:spacing w:after="0"/>
            </w:pPr>
            <w:r>
              <w:rPr>
                <w:b/>
                <w:sz w:val="16"/>
              </w:rPr>
              <w:t>Evidence</w:t>
            </w:r>
          </w:p>
        </w:tc>
        <w:tc>
          <w:tcPr>
            <w:tcW w:type="dxa" w:w="8525"/>
            <w:vAlign w:val="center"/>
            <w:tcMar>
              <w:top w:w="72" w:type="dxa"/>
              <w:start w:w="82" w:type="dxa"/>
              <w:bottom w:w="72" w:type="dxa"/>
              <w:end w:w="82" w:type="dxa"/>
            </w:tcMar>
            <w:shd w:fill="F4F7F8"/>
          </w:tcPr>
          <w:p>
            <w:pPr>
              <w:spacing w:after="0"/>
            </w:pPr>
            <w:r>
              <w:rPr>
                <w:sz w:val="16"/>
              </w:rPr>
              <w:t>Record rubric scores and brief notes, not facial-emotion inference or automated personality judgments.</w:t>
            </w:r>
          </w:p>
        </w:tc>
      </w:tr>
    </w:tbl>
    <w:p>
      <w:pPr>
        <w:pStyle w:val="Heading1"/>
      </w:pPr>
      <w:r>
        <w:t>Core domain 5  Mathematical and scientific reasoning</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Representation, method selection, multi-step reasoning, estimation, units, evidence, experimental logic, and error detection.</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Solve or design a parallel problem without AI, showing intermediate reasoning. In science, interpret new data or defend a laboratory decision.</w:t>
            </w:r>
          </w:p>
        </w:tc>
      </w:tr>
      <w:tr>
        <w:trPr>
          <w:cantSplit/>
        </w:trPr>
        <w:tc>
          <w:tcPr>
            <w:tcW w:type="dxa" w:w="1699"/>
            <w:vAlign w:val="center"/>
            <w:tcMar>
              <w:top w:w="72" w:type="dxa"/>
              <w:start w:w="82" w:type="dxa"/>
              <w:bottom w:w="72" w:type="dxa"/>
              <w:end w:w="82" w:type="dxa"/>
            </w:tcMar>
          </w:tcPr>
          <w:p>
            <w:pPr>
              <w:spacing w:after="0"/>
            </w:pPr>
            <w:r>
              <w:rPr>
                <w:b/>
                <w:sz w:val="16"/>
              </w:rPr>
              <w:t>Transfer</w:t>
            </w:r>
          </w:p>
        </w:tc>
        <w:tc>
          <w:tcPr>
            <w:tcW w:type="dxa" w:w="8525"/>
            <w:vAlign w:val="center"/>
            <w:tcMar>
              <w:top w:w="72" w:type="dxa"/>
              <w:start w:w="82" w:type="dxa"/>
              <w:bottom w:w="72" w:type="dxa"/>
              <w:end w:w="82" w:type="dxa"/>
            </w:tcMar>
          </w:tcPr>
          <w:p>
            <w:pPr>
              <w:spacing w:after="0"/>
            </w:pPr>
            <w:r>
              <w:rPr>
                <w:sz w:val="16"/>
              </w:rPr>
              <w:t>Change surface features while preserving the underlying concept; include one plausible but flawed solution for diagnosis.</w:t>
            </w:r>
          </w:p>
        </w:tc>
      </w:tr>
      <w:tr>
        <w:trPr>
          <w:cantSplit/>
        </w:trPr>
        <w:tc>
          <w:tcPr>
            <w:tcW w:type="dxa" w:w="1699"/>
            <w:vAlign w:val="center"/>
            <w:tcMar>
              <w:top w:w="72" w:type="dxa"/>
              <w:start w:w="82" w:type="dxa"/>
              <w:bottom w:w="72" w:type="dxa"/>
              <w:end w:w="82" w:type="dxa"/>
            </w:tcMar>
            <w:shd w:fill="F4F7F8"/>
          </w:tcPr>
          <w:p>
            <w:pPr>
              <w:spacing w:after="0"/>
            </w:pPr>
            <w:r>
              <w:rPr>
                <w:b/>
                <w:sz w:val="16"/>
              </w:rPr>
              <w:t>Scoring</w:t>
            </w:r>
          </w:p>
        </w:tc>
        <w:tc>
          <w:tcPr>
            <w:tcW w:type="dxa" w:w="8525"/>
            <w:vAlign w:val="center"/>
            <w:tcMar>
              <w:top w:w="72" w:type="dxa"/>
              <w:start w:w="82" w:type="dxa"/>
              <w:bottom w:w="72" w:type="dxa"/>
              <w:end w:w="82" w:type="dxa"/>
            </w:tcMar>
            <w:shd w:fill="F4F7F8"/>
          </w:tcPr>
          <w:p>
            <w:pPr>
              <w:spacing w:after="0"/>
            </w:pPr>
            <w:r>
              <w:rPr>
                <w:sz w:val="16"/>
              </w:rPr>
              <w:t>Separate final answer, conceptual model, procedure, error recognition, and explanation. Partial reasoning remains visible.</w:t>
            </w:r>
          </w:p>
        </w:tc>
      </w:tr>
    </w:tbl>
    <w:p>
      <w:pPr>
        <w:pStyle w:val="Heading1"/>
      </w:pPr>
      <w:r>
        <w:t>Core domain 6  Coding and computational work</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Problem decomposition, data structures, algorithm choice, debugging, testing, security, and explanation of generated or reused code.</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Write or repair a small program without generative assistance, explain each important choice, predict behavior, and add a test for an unseen case.</w:t>
            </w:r>
          </w:p>
        </w:tc>
      </w:tr>
      <w:tr>
        <w:trPr>
          <w:cantSplit/>
        </w:trPr>
        <w:tc>
          <w:tcPr>
            <w:tcW w:type="dxa" w:w="1699"/>
            <w:vAlign w:val="center"/>
            <w:tcMar>
              <w:top w:w="72" w:type="dxa"/>
              <w:start w:w="82" w:type="dxa"/>
              <w:bottom w:w="72" w:type="dxa"/>
              <w:end w:w="82" w:type="dxa"/>
            </w:tcMar>
          </w:tcPr>
          <w:p>
            <w:pPr>
              <w:spacing w:after="0"/>
            </w:pPr>
            <w:r>
              <w:rPr>
                <w:b/>
                <w:sz w:val="16"/>
              </w:rPr>
              <w:t>Transfer</w:t>
            </w:r>
          </w:p>
        </w:tc>
        <w:tc>
          <w:tcPr>
            <w:tcW w:type="dxa" w:w="8525"/>
            <w:vAlign w:val="center"/>
            <w:tcMar>
              <w:top w:w="72" w:type="dxa"/>
              <w:start w:w="82" w:type="dxa"/>
              <w:bottom w:w="72" w:type="dxa"/>
              <w:end w:w="82" w:type="dxa"/>
            </w:tcMar>
          </w:tcPr>
          <w:p>
            <w:pPr>
              <w:spacing w:after="0"/>
            </w:pPr>
            <w:r>
              <w:rPr>
                <w:sz w:val="16"/>
              </w:rPr>
              <w:t>Alter requirements or data so copied code cannot pass without conceptual adaptation.</w:t>
            </w:r>
          </w:p>
        </w:tc>
      </w:tr>
      <w:tr>
        <w:trPr>
          <w:cantSplit/>
        </w:trPr>
        <w:tc>
          <w:tcPr>
            <w:tcW w:type="dxa" w:w="1699"/>
            <w:vAlign w:val="center"/>
            <w:tcMar>
              <w:top w:w="72" w:type="dxa"/>
              <w:start w:w="82" w:type="dxa"/>
              <w:bottom w:w="72" w:type="dxa"/>
              <w:end w:w="82" w:type="dxa"/>
            </w:tcMar>
            <w:shd w:fill="F4F7F8"/>
          </w:tcPr>
          <w:p>
            <w:pPr>
              <w:spacing w:after="0"/>
            </w:pPr>
            <w:r>
              <w:rPr>
                <w:b/>
                <w:sz w:val="16"/>
              </w:rPr>
              <w:t>Scoring</w:t>
            </w:r>
          </w:p>
        </w:tc>
        <w:tc>
          <w:tcPr>
            <w:tcW w:type="dxa" w:w="8525"/>
            <w:vAlign w:val="center"/>
            <w:tcMar>
              <w:top w:w="72" w:type="dxa"/>
              <w:start w:w="82" w:type="dxa"/>
              <w:bottom w:w="72" w:type="dxa"/>
              <w:end w:w="82" w:type="dxa"/>
            </w:tcMar>
            <w:shd w:fill="F4F7F8"/>
          </w:tcPr>
          <w:p>
            <w:pPr>
              <w:spacing w:after="0"/>
            </w:pPr>
            <w:r>
              <w:rPr>
                <w:sz w:val="16"/>
              </w:rPr>
              <w:t>Correctness, reasoning, tests, debugging process, security, efficiency appropriate to level, and accurate disclosure.</w:t>
            </w:r>
          </w:p>
        </w:tc>
      </w:tr>
    </w:tbl>
    <w:p>
      <w:r>
        <w:br w:type="page"/>
      </w:r>
    </w:p>
    <w:p>
      <w:pPr>
        <w:pStyle w:val="Heading1"/>
      </w:pPr>
      <w:r>
        <w:t>Core domain 7  Creative production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Observation, imagination, technical control, aesthetic judgment, revision, intention, and ability to explain influences and choices.</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Produce a bounded sketch, passage, composition, design variation, or performance from a new prompt without generation, then explain and revise one decision.</w:t>
            </w:r>
          </w:p>
        </w:tc>
      </w:tr>
      <w:tr>
        <w:trPr>
          <w:cantSplit/>
        </w:trPr>
        <w:tc>
          <w:tcPr>
            <w:tcW w:type="dxa" w:w="1699"/>
            <w:vAlign w:val="center"/>
            <w:tcMar>
              <w:top w:w="72" w:type="dxa"/>
              <w:start w:w="82" w:type="dxa"/>
              <w:bottom w:w="72" w:type="dxa"/>
              <w:end w:w="82" w:type="dxa"/>
            </w:tcMar>
          </w:tcPr>
          <w:p>
            <w:pPr>
              <w:spacing w:after="0"/>
            </w:pPr>
            <w:r>
              <w:rPr>
                <w:b/>
                <w:sz w:val="16"/>
              </w:rPr>
              <w:t>Interpretation</w:t>
            </w:r>
          </w:p>
        </w:tc>
        <w:tc>
          <w:tcPr>
            <w:tcW w:type="dxa" w:w="8525"/>
            <w:vAlign w:val="center"/>
            <w:tcMar>
              <w:top w:w="72" w:type="dxa"/>
              <w:start w:w="82" w:type="dxa"/>
              <w:bottom w:w="72" w:type="dxa"/>
              <w:end w:w="82" w:type="dxa"/>
            </w:tcMar>
          </w:tcPr>
          <w:p>
            <w:pPr>
              <w:spacing w:after="0"/>
            </w:pPr>
            <w:r>
              <w:rPr>
                <w:sz w:val="16"/>
              </w:rPr>
              <w:t>Do not reward novelty alone. Evaluate intentionality, craft, coherence, responsiveness to constraints, and truthful provenance.</w:t>
            </w:r>
          </w:p>
        </w:tc>
      </w:tr>
    </w:tbl>
    <w:p>
      <w:pPr>
        <w:pStyle w:val="Heading1"/>
      </w:pPr>
      <w:r>
        <w:t>Core domain 8  Moral, civic, and professional judgment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Recognition of persons, duties, consequences, rights, goods, uncertainty, conflicts, and responsibility for action.</w:t>
            </w:r>
          </w:p>
        </w:tc>
      </w:tr>
      <w:tr>
        <w:trPr>
          <w:cantSplit/>
        </w:trPr>
        <w:tc>
          <w:tcPr>
            <w:tcW w:type="dxa" w:w="1699"/>
            <w:vAlign w:val="center"/>
            <w:tcMar>
              <w:top w:w="72" w:type="dxa"/>
              <w:start w:w="82" w:type="dxa"/>
              <w:bottom w:w="72" w:type="dxa"/>
              <w:end w:w="82" w:type="dxa"/>
            </w:tcMar>
            <w:shd w:fill="F4F7F8"/>
          </w:tcPr>
          <w:p>
            <w:pPr>
              <w:spacing w:after="0"/>
            </w:pPr>
            <w:r>
              <w:rPr>
                <w:b/>
                <w:sz w:val="16"/>
              </w:rPr>
              <w:t>Protected task</w:t>
            </w:r>
          </w:p>
        </w:tc>
        <w:tc>
          <w:tcPr>
            <w:tcW w:type="dxa" w:w="8525"/>
            <w:vAlign w:val="center"/>
            <w:tcMar>
              <w:top w:w="72" w:type="dxa"/>
              <w:start w:w="82" w:type="dxa"/>
              <w:bottom w:w="72" w:type="dxa"/>
              <w:end w:w="82" w:type="dxa"/>
            </w:tcMar>
            <w:shd w:fill="F4F7F8"/>
          </w:tcPr>
          <w:p>
            <w:pPr>
              <w:spacing w:after="0"/>
            </w:pPr>
            <w:r>
              <w:rPr>
                <w:sz w:val="16"/>
              </w:rPr>
              <w:t>Present a new dilemma. Require a decision, reasons, strongest objection, affected parties, uncertainty, and conditions that would change the judgment.</w:t>
            </w:r>
          </w:p>
        </w:tc>
      </w:tr>
      <w:tr>
        <w:trPr>
          <w:cantSplit/>
        </w:trPr>
        <w:tc>
          <w:tcPr>
            <w:tcW w:type="dxa" w:w="1699"/>
            <w:vAlign w:val="center"/>
            <w:tcMar>
              <w:top w:w="72" w:type="dxa"/>
              <w:start w:w="82" w:type="dxa"/>
              <w:bottom w:w="72" w:type="dxa"/>
              <w:end w:w="82" w:type="dxa"/>
            </w:tcMar>
          </w:tcPr>
          <w:p>
            <w:pPr>
              <w:spacing w:after="0"/>
            </w:pPr>
            <w:r>
              <w:rPr>
                <w:b/>
                <w:sz w:val="16"/>
              </w:rPr>
              <w:t>Scoring</w:t>
            </w:r>
          </w:p>
        </w:tc>
        <w:tc>
          <w:tcPr>
            <w:tcW w:type="dxa" w:w="8525"/>
            <w:vAlign w:val="center"/>
            <w:tcMar>
              <w:top w:w="72" w:type="dxa"/>
              <w:start w:w="82" w:type="dxa"/>
              <w:bottom w:w="72" w:type="dxa"/>
              <w:end w:w="82" w:type="dxa"/>
            </w:tcMar>
          </w:tcPr>
          <w:p>
            <w:pPr>
              <w:spacing w:after="0"/>
            </w:pPr>
            <w:r>
              <w:rPr>
                <w:sz w:val="16"/>
              </w:rPr>
              <w:t>Assess factual accuracy, principled reasoning, recognition of tradeoffs, consideration of persons, intellectual humility, and responsibility—not agreement with a preferred political conclusion.</w:t>
            </w:r>
          </w:p>
        </w:tc>
      </w:tr>
      <w:tr>
        <w:trPr>
          <w:cantSplit/>
        </w:trPr>
        <w:tc>
          <w:tcPr>
            <w:tcW w:type="dxa" w:w="1699"/>
            <w:vAlign w:val="center"/>
            <w:tcMar>
              <w:top w:w="72" w:type="dxa"/>
              <w:start w:w="82" w:type="dxa"/>
              <w:bottom w:w="72" w:type="dxa"/>
              <w:end w:w="82" w:type="dxa"/>
            </w:tcMar>
            <w:shd w:fill="F4F7F8"/>
          </w:tcPr>
          <w:p>
            <w:pPr>
              <w:spacing w:after="0"/>
            </w:pPr>
            <w:r>
              <w:rPr>
                <w:b/>
                <w:sz w:val="16"/>
              </w:rPr>
              <w:t>Limit</w:t>
            </w:r>
          </w:p>
        </w:tc>
        <w:tc>
          <w:tcPr>
            <w:tcW w:type="dxa" w:w="8525"/>
            <w:vAlign w:val="center"/>
            <w:tcMar>
              <w:top w:w="72" w:type="dxa"/>
              <w:start w:w="82" w:type="dxa"/>
              <w:bottom w:w="72" w:type="dxa"/>
              <w:end w:w="82" w:type="dxa"/>
            </w:tcMar>
            <w:shd w:fill="F4F7F8"/>
          </w:tcPr>
          <w:p>
            <w:pPr>
              <w:spacing w:after="0"/>
            </w:pPr>
            <w:r>
              <w:rPr>
                <w:sz w:val="16"/>
              </w:rPr>
              <w:t>A written scenario samples judgment; it does not prove character or future conduct. Avoid psychological labeling.</w:t>
            </w:r>
          </w:p>
        </w:tc>
      </w:tr>
    </w:tbl>
    <w:p>
      <w:pPr>
        <w:pStyle w:val="Heading1"/>
      </w:pPr>
      <w:r>
        <w:t>Core domain 9  Attention, self-regulation, and human help-seeking</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99"/>
            <w:vAlign w:val="center"/>
            <w:shd w:fill="193F58"/>
            <w:tcMar>
              <w:top w:w="72" w:type="dxa"/>
              <w:start w:w="82" w:type="dxa"/>
              <w:bottom w:w="72" w:type="dxa"/>
              <w:end w:w="82" w:type="dxa"/>
            </w:tcMar>
          </w:tcPr>
          <w:p>
            <w:pPr>
              <w:spacing w:after="0"/>
            </w:pPr>
            <w:r>
              <w:rPr>
                <w:b/>
                <w:color w:val="FFFFFF"/>
                <w:sz w:val="16"/>
              </w:rPr>
              <w:t>Element</w:t>
            </w:r>
          </w:p>
        </w:tc>
        <w:tc>
          <w:tcPr>
            <w:tcW w:type="dxa" w:w="8525"/>
            <w:vAlign w:val="center"/>
            <w:shd w:fill="193F58"/>
            <w:tcMar>
              <w:top w:w="72" w:type="dxa"/>
              <w:start w:w="82" w:type="dxa"/>
              <w:bottom w:w="72" w:type="dxa"/>
              <w:end w:w="82" w:type="dxa"/>
            </w:tcMar>
          </w:tcPr>
          <w:p>
            <w:pPr>
              <w:spacing w:after="0"/>
            </w:pPr>
            <w:r>
              <w:rPr>
                <w:b/>
                <w:color w:val="FFFFFF"/>
                <w:sz w:val="16"/>
              </w:rPr>
              <w:t>Protocol</w:t>
            </w:r>
          </w:p>
        </w:tc>
      </w:tr>
      <w:tr>
        <w:trPr>
          <w:cantSplit/>
        </w:trPr>
        <w:tc>
          <w:tcPr>
            <w:tcW w:type="dxa" w:w="1699"/>
            <w:vAlign w:val="center"/>
            <w:tcMar>
              <w:top w:w="72" w:type="dxa"/>
              <w:start w:w="82" w:type="dxa"/>
              <w:bottom w:w="72" w:type="dxa"/>
              <w:end w:w="82" w:type="dxa"/>
            </w:tcMar>
          </w:tcPr>
          <w:p>
            <w:pPr>
              <w:spacing w:after="0"/>
            </w:pPr>
            <w:r>
              <w:rPr>
                <w:b/>
                <w:sz w:val="16"/>
              </w:rPr>
              <w:t>Construct</w:t>
            </w:r>
          </w:p>
        </w:tc>
        <w:tc>
          <w:tcPr>
            <w:tcW w:type="dxa" w:w="8525"/>
            <w:vAlign w:val="center"/>
            <w:tcMar>
              <w:top w:w="72" w:type="dxa"/>
              <w:start w:w="82" w:type="dxa"/>
              <w:bottom w:w="72" w:type="dxa"/>
              <w:end w:w="82" w:type="dxa"/>
            </w:tcMar>
          </w:tcPr>
          <w:p>
            <w:pPr>
              <w:spacing w:after="0"/>
            </w:pPr>
            <w:r>
              <w:rPr>
                <w:sz w:val="16"/>
              </w:rPr>
              <w:t>Sustained attention, tolerance of productive difficulty, planning, monitoring, correction, completion, and appropriate recourse to teachers, parents, peers, or tutors.</w:t>
            </w:r>
          </w:p>
        </w:tc>
      </w:tr>
      <w:tr>
        <w:trPr>
          <w:cantSplit/>
        </w:trPr>
        <w:tc>
          <w:tcPr>
            <w:tcW w:type="dxa" w:w="1699"/>
            <w:vAlign w:val="center"/>
            <w:tcMar>
              <w:top w:w="72" w:type="dxa"/>
              <w:start w:w="82" w:type="dxa"/>
              <w:bottom w:w="72" w:type="dxa"/>
              <w:end w:w="82" w:type="dxa"/>
            </w:tcMar>
            <w:shd w:fill="F4F7F8"/>
          </w:tcPr>
          <w:p>
            <w:pPr>
              <w:spacing w:after="0"/>
            </w:pPr>
            <w:r>
              <w:rPr>
                <w:b/>
                <w:sz w:val="16"/>
              </w:rPr>
              <w:t>Behavioral evidence</w:t>
            </w:r>
          </w:p>
        </w:tc>
        <w:tc>
          <w:tcPr>
            <w:tcW w:type="dxa" w:w="8525"/>
            <w:vAlign w:val="center"/>
            <w:tcMar>
              <w:top w:w="72" w:type="dxa"/>
              <w:start w:w="82" w:type="dxa"/>
              <w:bottom w:w="72" w:type="dxa"/>
              <w:end w:w="82" w:type="dxa"/>
            </w:tcMar>
            <w:shd w:fill="F4F7F8"/>
          </w:tcPr>
          <w:p>
            <w:pPr>
              <w:spacing w:after="0"/>
            </w:pPr>
            <w:r>
              <w:rPr>
                <w:sz w:val="16"/>
              </w:rPr>
              <w:t>Time on task, voluntary pauses, abandoned attempts, correction after feedback, help source, and completion under equivalent conditions.</w:t>
            </w:r>
          </w:p>
        </w:tc>
      </w:tr>
      <w:tr>
        <w:trPr>
          <w:cantSplit/>
        </w:trPr>
        <w:tc>
          <w:tcPr>
            <w:tcW w:type="dxa" w:w="1699"/>
            <w:vAlign w:val="center"/>
            <w:tcMar>
              <w:top w:w="72" w:type="dxa"/>
              <w:start w:w="82" w:type="dxa"/>
              <w:bottom w:w="72" w:type="dxa"/>
              <w:end w:w="82" w:type="dxa"/>
            </w:tcMar>
          </w:tcPr>
          <w:p>
            <w:pPr>
              <w:spacing w:after="0"/>
            </w:pPr>
            <w:r>
              <w:rPr>
                <w:b/>
                <w:sz w:val="16"/>
              </w:rPr>
              <w:t>Self-report</w:t>
            </w:r>
          </w:p>
        </w:tc>
        <w:tc>
          <w:tcPr>
            <w:tcW w:type="dxa" w:w="8525"/>
            <w:vAlign w:val="center"/>
            <w:tcMar>
              <w:top w:w="72" w:type="dxa"/>
              <w:start w:w="82" w:type="dxa"/>
              <w:bottom w:w="72" w:type="dxa"/>
              <w:end w:w="82" w:type="dxa"/>
            </w:tcMar>
          </w:tcPr>
          <w:p>
            <w:pPr>
              <w:spacing w:after="0"/>
            </w:pPr>
            <w:r>
              <w:rPr>
                <w:sz w:val="16"/>
              </w:rPr>
              <w:t>Use brief, neutral questions about effort, confidence, frustration, perceived learning, belonging, and preferred help. Self-report supplements behavior; it does not replace it.</w:t>
            </w:r>
          </w:p>
        </w:tc>
      </w:tr>
      <w:tr>
        <w:trPr>
          <w:cantSplit/>
        </w:trPr>
        <w:tc>
          <w:tcPr>
            <w:tcW w:type="dxa" w:w="1699"/>
            <w:vAlign w:val="center"/>
            <w:tcMar>
              <w:top w:w="72" w:type="dxa"/>
              <w:start w:w="82" w:type="dxa"/>
              <w:bottom w:w="72" w:type="dxa"/>
              <w:end w:w="82" w:type="dxa"/>
            </w:tcMar>
            <w:shd w:fill="F4F7F8"/>
          </w:tcPr>
          <w:p>
            <w:pPr>
              <w:spacing w:after="0"/>
            </w:pPr>
            <w:r>
              <w:rPr>
                <w:b/>
                <w:sz w:val="16"/>
              </w:rPr>
              <w:t>Safeguard</w:t>
            </w:r>
          </w:p>
        </w:tc>
        <w:tc>
          <w:tcPr>
            <w:tcW w:type="dxa" w:w="8525"/>
            <w:vAlign w:val="center"/>
            <w:tcMar>
              <w:top w:w="72" w:type="dxa"/>
              <w:start w:w="82" w:type="dxa"/>
              <w:bottom w:w="72" w:type="dxa"/>
              <w:end w:w="82" w:type="dxa"/>
            </w:tcMar>
            <w:shd w:fill="F4F7F8"/>
          </w:tcPr>
          <w:p>
            <w:pPr>
              <w:spacing w:after="0"/>
            </w:pPr>
            <w:r>
              <w:rPr>
                <w:sz w:val="16"/>
              </w:rPr>
              <w:t>Do not use webcam affect detection, covert monitoring, keystroke surveillance beyond what is essential, or automated mental-health inference.</w:t>
            </w:r>
          </w:p>
        </w:tc>
      </w:tr>
    </w:tbl>
    <w:p>
      <w:pPr>
        <w:pStyle w:val="Heading1"/>
      </w:pPr>
      <w:r>
        <w:t>Human relationship indicators</w:t>
      </w:r>
    </w:p>
    <w:p>
      <w:pPr>
        <w:pStyle w:val="ListBullet"/>
      </w:pPr>
      <w:r>
        <w:t>Frequency and quality of teacher, tutor, parent, and peer interaction before and after AI use.</w:t>
      </w:r>
    </w:p>
    <w:p>
      <w:pPr>
        <w:pStyle w:val="ListBullet"/>
      </w:pPr>
      <w:r>
        <w:t>Whether AI prompts a student to seek human clarification or becomes a substitute for asking a person.</w:t>
      </w:r>
    </w:p>
    <w:p>
      <w:pPr>
        <w:pStyle w:val="ListBullet"/>
      </w:pPr>
      <w:r>
        <w:t>Belonging, friendship, family support, and trusted-adult access, interpreted as contextual conditions rather than automatic causes.</w:t>
      </w:r>
    </w:p>
    <w:p>
      <w:pPr>
        <w:pStyle w:val="ListBullet"/>
      </w:pPr>
      <w:r>
        <w:t>For home education, distinguish healthy parent mediation from excessive burden and distinguish chosen home learning from crisis schooling.</w:t>
      </w:r>
    </w:p>
    <w:p>
      <w:r>
        <w:br w:type="page"/>
      </w:r>
    </w:p>
    <w:p>
      <w:pPr>
        <w:pStyle w:val="Heading1"/>
      </w:pPr>
      <w:r>
        <w:t>Common scoring rubric</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7"/>
              </w:rPr>
              <w:t>Score</w:t>
            </w:r>
          </w:p>
        </w:tc>
        <w:tc>
          <w:tcPr>
            <w:tcW w:type="dxa" w:w="8280"/>
            <w:vAlign w:val="center"/>
            <w:shd w:fill="193F58"/>
            <w:tcMar>
              <w:top w:w="72" w:type="dxa"/>
              <w:start w:w="82" w:type="dxa"/>
              <w:bottom w:w="72" w:type="dxa"/>
              <w:end w:w="82" w:type="dxa"/>
            </w:tcMar>
          </w:tcPr>
          <w:p>
            <w:pPr>
              <w:spacing w:after="0"/>
            </w:pPr>
            <w:r>
              <w:rPr>
                <w:b/>
                <w:color w:val="FFFFFF"/>
                <w:sz w:val="17"/>
              </w:rPr>
              <w:t>Performance anchor</w:t>
            </w:r>
          </w:p>
        </w:tc>
      </w:tr>
      <w:tr>
        <w:trPr>
          <w:cantSplit/>
        </w:trPr>
        <w:tc>
          <w:tcPr>
            <w:tcW w:type="dxa" w:w="1944"/>
            <w:vAlign w:val="center"/>
            <w:tcMar>
              <w:top w:w="72" w:type="dxa"/>
              <w:start w:w="82" w:type="dxa"/>
              <w:bottom w:w="72" w:type="dxa"/>
              <w:end w:w="82" w:type="dxa"/>
            </w:tcMar>
          </w:tcPr>
          <w:p>
            <w:pPr>
              <w:spacing w:after="0"/>
            </w:pPr>
            <w:r>
              <w:rPr>
                <w:b/>
                <w:sz w:val="17"/>
              </w:rPr>
              <w:t>0 — Not demonstrated</w:t>
            </w:r>
          </w:p>
        </w:tc>
        <w:tc>
          <w:tcPr>
            <w:tcW w:type="dxa" w:w="8280"/>
            <w:vAlign w:val="center"/>
            <w:tcMar>
              <w:top w:w="72" w:type="dxa"/>
              <w:start w:w="82" w:type="dxa"/>
              <w:bottom w:w="72" w:type="dxa"/>
              <w:end w:w="82" w:type="dxa"/>
            </w:tcMar>
          </w:tcPr>
          <w:p>
            <w:pPr>
              <w:spacing w:after="0"/>
            </w:pPr>
            <w:r>
              <w:rPr>
                <w:sz w:val="17"/>
              </w:rPr>
              <w:t>No relevant response, wholly unsupported response, or inability to begin without prohibited assistance.</w:t>
            </w:r>
          </w:p>
        </w:tc>
      </w:tr>
      <w:tr>
        <w:trPr>
          <w:cantSplit/>
        </w:trPr>
        <w:tc>
          <w:tcPr>
            <w:tcW w:type="dxa" w:w="1944"/>
            <w:vAlign w:val="center"/>
            <w:tcMar>
              <w:top w:w="72" w:type="dxa"/>
              <w:start w:w="82" w:type="dxa"/>
              <w:bottom w:w="72" w:type="dxa"/>
              <w:end w:w="82" w:type="dxa"/>
            </w:tcMar>
            <w:shd w:fill="F4F7F8"/>
          </w:tcPr>
          <w:p>
            <w:pPr>
              <w:spacing w:after="0"/>
            </w:pPr>
            <w:r>
              <w:rPr>
                <w:b/>
                <w:sz w:val="17"/>
              </w:rPr>
              <w:t>1 — Fragile</w:t>
            </w:r>
          </w:p>
        </w:tc>
        <w:tc>
          <w:tcPr>
            <w:tcW w:type="dxa" w:w="8280"/>
            <w:vAlign w:val="center"/>
            <w:tcMar>
              <w:top w:w="72" w:type="dxa"/>
              <w:start w:w="82" w:type="dxa"/>
              <w:bottom w:w="72" w:type="dxa"/>
              <w:end w:w="82" w:type="dxa"/>
            </w:tcMar>
            <w:shd w:fill="F4F7F8"/>
          </w:tcPr>
          <w:p>
            <w:pPr>
              <w:spacing w:after="0"/>
            </w:pPr>
            <w:r>
              <w:rPr>
                <w:sz w:val="17"/>
              </w:rPr>
              <w:t>Isolated correct elements with major misconceptions, missing reasoning, or inability to apply the idea.</w:t>
            </w:r>
          </w:p>
        </w:tc>
      </w:tr>
      <w:tr>
        <w:trPr>
          <w:cantSplit/>
        </w:trPr>
        <w:tc>
          <w:tcPr>
            <w:tcW w:type="dxa" w:w="1944"/>
            <w:vAlign w:val="center"/>
            <w:tcMar>
              <w:top w:w="72" w:type="dxa"/>
              <w:start w:w="82" w:type="dxa"/>
              <w:bottom w:w="72" w:type="dxa"/>
              <w:end w:w="82" w:type="dxa"/>
            </w:tcMar>
          </w:tcPr>
          <w:p>
            <w:pPr>
              <w:spacing w:after="0"/>
            </w:pPr>
            <w:r>
              <w:rPr>
                <w:b/>
                <w:sz w:val="17"/>
              </w:rPr>
              <w:t>2 — Developing</w:t>
            </w:r>
          </w:p>
        </w:tc>
        <w:tc>
          <w:tcPr>
            <w:tcW w:type="dxa" w:w="8280"/>
            <w:vAlign w:val="center"/>
            <w:tcMar>
              <w:top w:w="72" w:type="dxa"/>
              <w:start w:w="82" w:type="dxa"/>
              <w:bottom w:w="72" w:type="dxa"/>
              <w:end w:w="82" w:type="dxa"/>
            </w:tcMar>
          </w:tcPr>
          <w:p>
            <w:pPr>
              <w:spacing w:after="0"/>
            </w:pPr>
            <w:r>
              <w:rPr>
                <w:sz w:val="17"/>
              </w:rPr>
              <w:t>Core idea is partly correct; reasoning is incomplete but recoverable with limited human prompting.</w:t>
            </w:r>
          </w:p>
        </w:tc>
      </w:tr>
      <w:tr>
        <w:trPr>
          <w:cantSplit/>
        </w:trPr>
        <w:tc>
          <w:tcPr>
            <w:tcW w:type="dxa" w:w="1944"/>
            <w:vAlign w:val="center"/>
            <w:tcMar>
              <w:top w:w="72" w:type="dxa"/>
              <w:start w:w="82" w:type="dxa"/>
              <w:bottom w:w="72" w:type="dxa"/>
              <w:end w:w="82" w:type="dxa"/>
            </w:tcMar>
            <w:shd w:fill="F4F7F8"/>
          </w:tcPr>
          <w:p>
            <w:pPr>
              <w:spacing w:after="0"/>
            </w:pPr>
            <w:r>
              <w:rPr>
                <w:b/>
                <w:sz w:val="17"/>
              </w:rPr>
              <w:t>3 — Independent</w:t>
            </w:r>
          </w:p>
        </w:tc>
        <w:tc>
          <w:tcPr>
            <w:tcW w:type="dxa" w:w="8280"/>
            <w:vAlign w:val="center"/>
            <w:tcMar>
              <w:top w:w="72" w:type="dxa"/>
              <w:start w:w="82" w:type="dxa"/>
              <w:bottom w:w="72" w:type="dxa"/>
              <w:end w:w="82" w:type="dxa"/>
            </w:tcMar>
            <w:shd w:fill="F4F7F8"/>
          </w:tcPr>
          <w:p>
            <w:pPr>
              <w:spacing w:after="0"/>
            </w:pPr>
            <w:r>
              <w:rPr>
                <w:sz w:val="17"/>
              </w:rPr>
              <w:t>Accurate, coherent, appropriately supported performance without AI; errors are minor and do not undermine the central result.</w:t>
            </w:r>
          </w:p>
        </w:tc>
      </w:tr>
      <w:tr>
        <w:trPr>
          <w:cantSplit/>
        </w:trPr>
        <w:tc>
          <w:tcPr>
            <w:tcW w:type="dxa" w:w="1944"/>
            <w:vAlign w:val="center"/>
            <w:tcMar>
              <w:top w:w="72" w:type="dxa"/>
              <w:start w:w="82" w:type="dxa"/>
              <w:bottom w:w="72" w:type="dxa"/>
              <w:end w:w="82" w:type="dxa"/>
            </w:tcMar>
          </w:tcPr>
          <w:p>
            <w:pPr>
              <w:spacing w:after="0"/>
            </w:pPr>
            <w:r>
              <w:rPr>
                <w:b/>
                <w:sz w:val="17"/>
              </w:rPr>
              <w:t>4 — Transfer</w:t>
            </w:r>
          </w:p>
        </w:tc>
        <w:tc>
          <w:tcPr>
            <w:tcW w:type="dxa" w:w="8280"/>
            <w:vAlign w:val="center"/>
            <w:tcMar>
              <w:top w:w="72" w:type="dxa"/>
              <w:start w:w="82" w:type="dxa"/>
              <w:bottom w:w="72" w:type="dxa"/>
              <w:end w:w="82" w:type="dxa"/>
            </w:tcMar>
          </w:tcPr>
          <w:p>
            <w:pPr>
              <w:spacing w:after="0"/>
            </w:pPr>
            <w:r>
              <w:rPr>
                <w:sz w:val="17"/>
              </w:rPr>
              <w:t>Independent performance adapts the concept to a genuinely new case, addresses limits or objections, and self-corrects when warranted.</w:t>
            </w:r>
          </w:p>
        </w:tc>
      </w:tr>
    </w:tbl>
    <w:p>
      <w:pPr>
        <w:pStyle w:val="Heading1"/>
      </w:pPr>
      <w:r>
        <w:t>Dimensions scored separately</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6"/>
              </w:rPr>
              <w:t>Dimension</w:t>
            </w:r>
          </w:p>
        </w:tc>
        <w:tc>
          <w:tcPr>
            <w:tcW w:type="dxa" w:w="8280"/>
            <w:vAlign w:val="center"/>
            <w:shd w:fill="193F58"/>
            <w:tcMar>
              <w:top w:w="72" w:type="dxa"/>
              <w:start w:w="82" w:type="dxa"/>
              <w:bottom w:w="72" w:type="dxa"/>
              <w:end w:w="82" w:type="dxa"/>
            </w:tcMar>
          </w:tcPr>
          <w:p>
            <w:pPr>
              <w:spacing w:after="0"/>
            </w:pPr>
            <w:r>
              <w:rPr>
                <w:b/>
                <w:color w:val="FFFFFF"/>
                <w:sz w:val="16"/>
              </w:rPr>
              <w:t>Evidence</w:t>
            </w:r>
          </w:p>
        </w:tc>
      </w:tr>
      <w:tr>
        <w:trPr>
          <w:cantSplit/>
        </w:trPr>
        <w:tc>
          <w:tcPr>
            <w:tcW w:type="dxa" w:w="1944"/>
            <w:vAlign w:val="center"/>
            <w:tcMar>
              <w:top w:w="72" w:type="dxa"/>
              <w:start w:w="82" w:type="dxa"/>
              <w:bottom w:w="72" w:type="dxa"/>
              <w:end w:w="82" w:type="dxa"/>
            </w:tcMar>
          </w:tcPr>
          <w:p>
            <w:pPr>
              <w:spacing w:after="0"/>
            </w:pPr>
            <w:r>
              <w:rPr>
                <w:b/>
                <w:sz w:val="16"/>
              </w:rPr>
              <w:t>Knowledge</w:t>
            </w:r>
          </w:p>
        </w:tc>
        <w:tc>
          <w:tcPr>
            <w:tcW w:type="dxa" w:w="8280"/>
            <w:vAlign w:val="center"/>
            <w:tcMar>
              <w:top w:w="72" w:type="dxa"/>
              <w:start w:w="82" w:type="dxa"/>
              <w:bottom w:w="72" w:type="dxa"/>
              <w:end w:w="82" w:type="dxa"/>
            </w:tcMar>
          </w:tcPr>
          <w:p>
            <w:pPr>
              <w:spacing w:after="0"/>
            </w:pPr>
            <w:r>
              <w:rPr>
                <w:sz w:val="16"/>
              </w:rPr>
              <w:t>Accurate retrieval and use of required facts, concepts, texts, procedures, or principles.</w:t>
            </w:r>
          </w:p>
        </w:tc>
      </w:tr>
      <w:tr>
        <w:trPr>
          <w:cantSplit/>
        </w:trPr>
        <w:tc>
          <w:tcPr>
            <w:tcW w:type="dxa" w:w="1944"/>
            <w:vAlign w:val="center"/>
            <w:tcMar>
              <w:top w:w="72" w:type="dxa"/>
              <w:start w:w="82" w:type="dxa"/>
              <w:bottom w:w="72" w:type="dxa"/>
              <w:end w:w="82" w:type="dxa"/>
            </w:tcMar>
            <w:shd w:fill="F4F7F8"/>
          </w:tcPr>
          <w:p>
            <w:pPr>
              <w:spacing w:after="0"/>
            </w:pPr>
            <w:r>
              <w:rPr>
                <w:b/>
                <w:sz w:val="16"/>
              </w:rPr>
              <w:t>Reasoning</w:t>
            </w:r>
          </w:p>
        </w:tc>
        <w:tc>
          <w:tcPr>
            <w:tcW w:type="dxa" w:w="8280"/>
            <w:vAlign w:val="center"/>
            <w:tcMar>
              <w:top w:w="72" w:type="dxa"/>
              <w:start w:w="82" w:type="dxa"/>
              <w:bottom w:w="72" w:type="dxa"/>
              <w:end w:w="82" w:type="dxa"/>
            </w:tcMar>
            <w:shd w:fill="F4F7F8"/>
          </w:tcPr>
          <w:p>
            <w:pPr>
              <w:spacing w:after="0"/>
            </w:pPr>
            <w:r>
              <w:rPr>
                <w:sz w:val="16"/>
              </w:rPr>
              <w:t>Visible chain from evidence or premise to conclusion; appropriate method and counterargument.</w:t>
            </w:r>
          </w:p>
        </w:tc>
      </w:tr>
      <w:tr>
        <w:trPr>
          <w:cantSplit/>
        </w:trPr>
        <w:tc>
          <w:tcPr>
            <w:tcW w:type="dxa" w:w="1944"/>
            <w:vAlign w:val="center"/>
            <w:tcMar>
              <w:top w:w="72" w:type="dxa"/>
              <w:start w:w="82" w:type="dxa"/>
              <w:bottom w:w="72" w:type="dxa"/>
              <w:end w:w="82" w:type="dxa"/>
            </w:tcMar>
          </w:tcPr>
          <w:p>
            <w:pPr>
              <w:spacing w:after="0"/>
            </w:pPr>
            <w:r>
              <w:rPr>
                <w:b/>
                <w:sz w:val="16"/>
              </w:rPr>
              <w:t>Verification</w:t>
            </w:r>
          </w:p>
        </w:tc>
        <w:tc>
          <w:tcPr>
            <w:tcW w:type="dxa" w:w="8280"/>
            <w:vAlign w:val="center"/>
            <w:tcMar>
              <w:top w:w="72" w:type="dxa"/>
              <w:start w:w="82" w:type="dxa"/>
              <w:bottom w:w="72" w:type="dxa"/>
              <w:end w:w="82" w:type="dxa"/>
            </w:tcMar>
          </w:tcPr>
          <w:p>
            <w:pPr>
              <w:spacing w:after="0"/>
            </w:pPr>
            <w:r>
              <w:rPr>
                <w:sz w:val="16"/>
              </w:rPr>
              <w:t>Source provenance, corroboration, uncertainty, error detection, and correction.</w:t>
            </w:r>
          </w:p>
        </w:tc>
      </w:tr>
      <w:tr>
        <w:trPr>
          <w:cantSplit/>
        </w:trPr>
        <w:tc>
          <w:tcPr>
            <w:tcW w:type="dxa" w:w="1944"/>
            <w:vAlign w:val="center"/>
            <w:tcMar>
              <w:top w:w="72" w:type="dxa"/>
              <w:start w:w="82" w:type="dxa"/>
              <w:bottom w:w="72" w:type="dxa"/>
              <w:end w:w="82" w:type="dxa"/>
            </w:tcMar>
            <w:shd w:fill="F4F7F8"/>
          </w:tcPr>
          <w:p>
            <w:pPr>
              <w:spacing w:after="0"/>
            </w:pPr>
            <w:r>
              <w:rPr>
                <w:b/>
                <w:sz w:val="16"/>
              </w:rPr>
              <w:t>Authorship</w:t>
            </w:r>
          </w:p>
        </w:tc>
        <w:tc>
          <w:tcPr>
            <w:tcW w:type="dxa" w:w="8280"/>
            <w:vAlign w:val="center"/>
            <w:tcMar>
              <w:top w:w="72" w:type="dxa"/>
              <w:start w:w="82" w:type="dxa"/>
              <w:bottom w:w="72" w:type="dxa"/>
              <w:end w:w="82" w:type="dxa"/>
            </w:tcMar>
            <w:shd w:fill="F4F7F8"/>
          </w:tcPr>
          <w:p>
            <w:pPr>
              <w:spacing w:after="0"/>
            </w:pPr>
            <w:r>
              <w:rPr>
                <w:sz w:val="16"/>
              </w:rPr>
              <w:t>Ability to explain, reproduce, and revise personally owned intellectual decisions.</w:t>
            </w:r>
          </w:p>
        </w:tc>
      </w:tr>
      <w:tr>
        <w:trPr>
          <w:cantSplit/>
        </w:trPr>
        <w:tc>
          <w:tcPr>
            <w:tcW w:type="dxa" w:w="1944"/>
            <w:vAlign w:val="center"/>
            <w:tcMar>
              <w:top w:w="72" w:type="dxa"/>
              <w:start w:w="82" w:type="dxa"/>
              <w:bottom w:w="72" w:type="dxa"/>
              <w:end w:w="82" w:type="dxa"/>
            </w:tcMar>
          </w:tcPr>
          <w:p>
            <w:pPr>
              <w:spacing w:after="0"/>
            </w:pPr>
            <w:r>
              <w:rPr>
                <w:b/>
                <w:sz w:val="16"/>
              </w:rPr>
              <w:t>Transfer</w:t>
            </w:r>
          </w:p>
        </w:tc>
        <w:tc>
          <w:tcPr>
            <w:tcW w:type="dxa" w:w="8280"/>
            <w:vAlign w:val="center"/>
            <w:tcMar>
              <w:top w:w="72" w:type="dxa"/>
              <w:start w:w="82" w:type="dxa"/>
              <w:bottom w:w="72" w:type="dxa"/>
              <w:end w:w="82" w:type="dxa"/>
            </w:tcMar>
          </w:tcPr>
          <w:p>
            <w:pPr>
              <w:spacing w:after="0"/>
            </w:pPr>
            <w:r>
              <w:rPr>
                <w:sz w:val="16"/>
              </w:rPr>
              <w:t>Application to a new problem, text, dataset, scenario, or audience.</w:t>
            </w:r>
          </w:p>
        </w:tc>
      </w:tr>
      <w:tr>
        <w:trPr>
          <w:cantSplit/>
        </w:trPr>
        <w:tc>
          <w:tcPr>
            <w:tcW w:type="dxa" w:w="1944"/>
            <w:vAlign w:val="center"/>
            <w:tcMar>
              <w:top w:w="72" w:type="dxa"/>
              <w:start w:w="82" w:type="dxa"/>
              <w:bottom w:w="72" w:type="dxa"/>
              <w:end w:w="82" w:type="dxa"/>
            </w:tcMar>
            <w:shd w:fill="F4F7F8"/>
          </w:tcPr>
          <w:p>
            <w:pPr>
              <w:spacing w:after="0"/>
            </w:pPr>
            <w:r>
              <w:rPr>
                <w:b/>
                <w:sz w:val="16"/>
              </w:rPr>
              <w:t>Self-regulation</w:t>
            </w:r>
          </w:p>
        </w:tc>
        <w:tc>
          <w:tcPr>
            <w:tcW w:type="dxa" w:w="8280"/>
            <w:vAlign w:val="center"/>
            <w:tcMar>
              <w:top w:w="72" w:type="dxa"/>
              <w:start w:w="82" w:type="dxa"/>
              <w:bottom w:w="72" w:type="dxa"/>
              <w:end w:w="82" w:type="dxa"/>
            </w:tcMar>
            <w:shd w:fill="F4F7F8"/>
          </w:tcPr>
          <w:p>
            <w:pPr>
              <w:spacing w:after="0"/>
            </w:pPr>
            <w:r>
              <w:rPr>
                <w:sz w:val="16"/>
              </w:rPr>
              <w:t>Planning, persistence, monitoring, productive help-seeking, and correction.</w:t>
            </w:r>
          </w:p>
        </w:tc>
      </w:tr>
      <w:tr>
        <w:trPr>
          <w:cantSplit/>
        </w:trPr>
        <w:tc>
          <w:tcPr>
            <w:tcW w:type="dxa" w:w="1944"/>
            <w:vAlign w:val="center"/>
            <w:tcMar>
              <w:top w:w="72" w:type="dxa"/>
              <w:start w:w="82" w:type="dxa"/>
              <w:bottom w:w="72" w:type="dxa"/>
              <w:end w:w="82" w:type="dxa"/>
            </w:tcMar>
          </w:tcPr>
          <w:p>
            <w:pPr>
              <w:spacing w:after="0"/>
            </w:pPr>
            <w:r>
              <w:rPr>
                <w:b/>
                <w:sz w:val="16"/>
              </w:rPr>
              <w:t>Communication</w:t>
            </w:r>
          </w:p>
        </w:tc>
        <w:tc>
          <w:tcPr>
            <w:tcW w:type="dxa" w:w="8280"/>
            <w:vAlign w:val="center"/>
            <w:tcMar>
              <w:top w:w="72" w:type="dxa"/>
              <w:start w:w="82" w:type="dxa"/>
              <w:bottom w:w="72" w:type="dxa"/>
              <w:end w:w="82" w:type="dxa"/>
            </w:tcMar>
          </w:tcPr>
          <w:p>
            <w:pPr>
              <w:spacing w:after="0"/>
            </w:pPr>
            <w:r>
              <w:rPr>
                <w:sz w:val="16"/>
              </w:rPr>
              <w:t>Clarity appropriate to the discipline and age, scored without penalizing protected disability or language accommodations.</w:t>
            </w:r>
          </w:p>
        </w:tc>
      </w:tr>
    </w:tbl>
    <w:p>
      <w:pPr>
        <w:pStyle w:val="Heading1"/>
      </w:pPr>
      <w:r>
        <w:t>Decision rule</w:t>
      </w:r>
    </w:p>
    <w:p>
      <w:r>
        <w:t>Report each dimension and condition separately. Do not collapse moral judgment, wellness, knowledge, and fluency into a single score. A claim of protected independent learning requires at least PH-2 design evidence and acceptable C2 performance. A claim of durable learning requires acceptable C3 performance. A claim of transfer requires acceptable C4 performance and a credible comparison. The protocol does not prescribe one universal numerical cut score; institutions must set and justify age- and discipline-appropriate thresholds before examining results.</w:t>
      </w:r>
    </w:p>
    <w:p>
      <w:r>
        <w:br w:type="page"/>
      </w:r>
    </w:p>
    <w:p>
      <w:pPr>
        <w:pStyle w:val="Heading1"/>
      </w:pPr>
      <w:r>
        <w:t>Comparison and validity design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6"/>
              </w:rPr>
              <w:t>Design element</w:t>
            </w:r>
          </w:p>
        </w:tc>
        <w:tc>
          <w:tcPr>
            <w:tcW w:type="dxa" w:w="8280"/>
            <w:vAlign w:val="center"/>
            <w:shd w:fill="193F58"/>
            <w:tcMar>
              <w:top w:w="72" w:type="dxa"/>
              <w:start w:w="82" w:type="dxa"/>
              <w:bottom w:w="72" w:type="dxa"/>
              <w:end w:w="82" w:type="dxa"/>
            </w:tcMar>
          </w:tcPr>
          <w:p>
            <w:pPr>
              <w:spacing w:after="0"/>
            </w:pPr>
            <w:r>
              <w:rPr>
                <w:b/>
                <w:color w:val="FFFFFF"/>
                <w:sz w:val="16"/>
              </w:rPr>
              <w:t>Minimum standard</w:t>
            </w:r>
          </w:p>
        </w:tc>
      </w:tr>
      <w:tr>
        <w:trPr>
          <w:cantSplit/>
        </w:trPr>
        <w:tc>
          <w:tcPr>
            <w:tcW w:type="dxa" w:w="1944"/>
            <w:vAlign w:val="center"/>
            <w:tcMar>
              <w:top w:w="72" w:type="dxa"/>
              <w:start w:w="82" w:type="dxa"/>
              <w:bottom w:w="72" w:type="dxa"/>
              <w:end w:w="82" w:type="dxa"/>
            </w:tcMar>
          </w:tcPr>
          <w:p>
            <w:pPr>
              <w:spacing w:after="0"/>
            </w:pPr>
            <w:r>
              <w:rPr>
                <w:b/>
                <w:sz w:val="16"/>
              </w:rPr>
              <w:t>Preferred comparison</w:t>
            </w:r>
          </w:p>
        </w:tc>
        <w:tc>
          <w:tcPr>
            <w:tcW w:type="dxa" w:w="8280"/>
            <w:vAlign w:val="center"/>
            <w:tcMar>
              <w:top w:w="72" w:type="dxa"/>
              <w:start w:w="82" w:type="dxa"/>
              <w:bottom w:w="72" w:type="dxa"/>
              <w:end w:w="82" w:type="dxa"/>
            </w:tcMar>
          </w:tcPr>
          <w:p>
            <w:pPr>
              <w:spacing w:after="0"/>
            </w:pPr>
            <w:r>
              <w:rPr>
                <w:sz w:val="16"/>
              </w:rPr>
              <w:t>Random assignment to H0, H1, or S1 when educationally and ethically feasible; otherwise use a planned crossover or matched comparison.</w:t>
            </w:r>
          </w:p>
        </w:tc>
      </w:tr>
      <w:tr>
        <w:trPr>
          <w:cantSplit/>
        </w:trPr>
        <w:tc>
          <w:tcPr>
            <w:tcW w:type="dxa" w:w="1944"/>
            <w:vAlign w:val="center"/>
            <w:tcMar>
              <w:top w:w="72" w:type="dxa"/>
              <w:start w:w="82" w:type="dxa"/>
              <w:bottom w:w="72" w:type="dxa"/>
              <w:end w:w="82" w:type="dxa"/>
            </w:tcMar>
            <w:shd w:fill="F4F7F8"/>
          </w:tcPr>
          <w:p>
            <w:pPr>
              <w:spacing w:after="0"/>
            </w:pPr>
            <w:r>
              <w:rPr>
                <w:b/>
                <w:sz w:val="16"/>
              </w:rPr>
              <w:t>Baseline equivalence</w:t>
            </w:r>
          </w:p>
        </w:tc>
        <w:tc>
          <w:tcPr>
            <w:tcW w:type="dxa" w:w="8280"/>
            <w:vAlign w:val="center"/>
            <w:tcMar>
              <w:top w:w="72" w:type="dxa"/>
              <w:start w:w="82" w:type="dxa"/>
              <w:bottom w:w="72" w:type="dxa"/>
              <w:end w:w="82" w:type="dxa"/>
            </w:tcMar>
            <w:shd w:fill="F4F7F8"/>
          </w:tcPr>
          <w:p>
            <w:pPr>
              <w:spacing w:after="0"/>
            </w:pPr>
            <w:r>
              <w:rPr>
                <w:sz w:val="16"/>
              </w:rPr>
              <w:t>Compare C0 performance, prior achievement, age or grade, language, disability, and relevant course preparation.</w:t>
            </w:r>
          </w:p>
        </w:tc>
      </w:tr>
      <w:tr>
        <w:trPr>
          <w:cantSplit/>
        </w:trPr>
        <w:tc>
          <w:tcPr>
            <w:tcW w:type="dxa" w:w="1944"/>
            <w:vAlign w:val="center"/>
            <w:tcMar>
              <w:top w:w="72" w:type="dxa"/>
              <w:start w:w="82" w:type="dxa"/>
              <w:bottom w:w="72" w:type="dxa"/>
              <w:end w:w="82" w:type="dxa"/>
            </w:tcMar>
          </w:tcPr>
          <w:p>
            <w:pPr>
              <w:spacing w:after="0"/>
            </w:pPr>
            <w:r>
              <w:rPr>
                <w:b/>
                <w:sz w:val="16"/>
              </w:rPr>
              <w:t>Common treatment</w:t>
            </w:r>
          </w:p>
        </w:tc>
        <w:tc>
          <w:tcPr>
            <w:tcW w:type="dxa" w:w="8280"/>
            <w:vAlign w:val="center"/>
            <w:tcMar>
              <w:top w:w="72" w:type="dxa"/>
              <w:start w:w="82" w:type="dxa"/>
              <w:bottom w:w="72" w:type="dxa"/>
              <w:end w:w="82" w:type="dxa"/>
            </w:tcMar>
          </w:tcPr>
          <w:p>
            <w:pPr>
              <w:spacing w:after="0"/>
            </w:pPr>
            <w:r>
              <w:rPr>
                <w:sz w:val="16"/>
              </w:rPr>
              <w:t>Use the same learning objective, time, instructor access, task difficulty, and scoring; document unavoidable differences.</w:t>
            </w:r>
          </w:p>
        </w:tc>
      </w:tr>
      <w:tr>
        <w:trPr>
          <w:cantSplit/>
        </w:trPr>
        <w:tc>
          <w:tcPr>
            <w:tcW w:type="dxa" w:w="1944"/>
            <w:vAlign w:val="center"/>
            <w:tcMar>
              <w:top w:w="72" w:type="dxa"/>
              <w:start w:w="82" w:type="dxa"/>
              <w:bottom w:w="72" w:type="dxa"/>
              <w:end w:w="82" w:type="dxa"/>
            </w:tcMar>
            <w:shd w:fill="F4F7F8"/>
          </w:tcPr>
          <w:p>
            <w:pPr>
              <w:spacing w:after="0"/>
            </w:pPr>
            <w:r>
              <w:rPr>
                <w:b/>
                <w:sz w:val="16"/>
              </w:rPr>
              <w:t>Fidelity</w:t>
            </w:r>
          </w:p>
        </w:tc>
        <w:tc>
          <w:tcPr>
            <w:tcW w:type="dxa" w:w="8280"/>
            <w:vAlign w:val="center"/>
            <w:tcMar>
              <w:top w:w="72" w:type="dxa"/>
              <w:start w:w="82" w:type="dxa"/>
              <w:bottom w:w="72" w:type="dxa"/>
              <w:end w:w="82" w:type="dxa"/>
            </w:tcMar>
            <w:shd w:fill="F4F7F8"/>
          </w:tcPr>
          <w:p>
            <w:pPr>
              <w:spacing w:after="0"/>
            </w:pPr>
            <w:r>
              <w:rPr>
                <w:sz w:val="16"/>
              </w:rPr>
              <w:t>Record the actual AI tool, version, settings, prompts, outputs, duration, human assistance, and deviations from the assigned condition.</w:t>
            </w:r>
          </w:p>
        </w:tc>
      </w:tr>
      <w:tr>
        <w:trPr>
          <w:cantSplit/>
        </w:trPr>
        <w:tc>
          <w:tcPr>
            <w:tcW w:type="dxa" w:w="1944"/>
            <w:vAlign w:val="center"/>
            <w:tcMar>
              <w:top w:w="72" w:type="dxa"/>
              <w:start w:w="82" w:type="dxa"/>
              <w:bottom w:w="72" w:type="dxa"/>
              <w:end w:w="82" w:type="dxa"/>
            </w:tcMar>
          </w:tcPr>
          <w:p>
            <w:pPr>
              <w:spacing w:after="0"/>
            </w:pPr>
            <w:r>
              <w:rPr>
                <w:b/>
                <w:sz w:val="16"/>
              </w:rPr>
              <w:t>Attrition</w:t>
            </w:r>
          </w:p>
        </w:tc>
        <w:tc>
          <w:tcPr>
            <w:tcW w:type="dxa" w:w="8280"/>
            <w:vAlign w:val="center"/>
            <w:tcMar>
              <w:top w:w="72" w:type="dxa"/>
              <w:start w:w="82" w:type="dxa"/>
              <w:bottom w:w="72" w:type="dxa"/>
              <w:end w:w="82" w:type="dxa"/>
            </w:tcMar>
          </w:tcPr>
          <w:p>
            <w:pPr>
              <w:spacing w:after="0"/>
            </w:pPr>
            <w:r>
              <w:rPr>
                <w:sz w:val="16"/>
              </w:rPr>
              <w:t>Report who did not complete C2, C3, or C4 and whether missingness differs by condition or student group.</w:t>
            </w:r>
          </w:p>
        </w:tc>
      </w:tr>
      <w:tr>
        <w:trPr>
          <w:cantSplit/>
        </w:trPr>
        <w:tc>
          <w:tcPr>
            <w:tcW w:type="dxa" w:w="1944"/>
            <w:vAlign w:val="center"/>
            <w:tcMar>
              <w:top w:w="72" w:type="dxa"/>
              <w:start w:w="82" w:type="dxa"/>
              <w:bottom w:w="72" w:type="dxa"/>
              <w:end w:w="82" w:type="dxa"/>
            </w:tcMar>
            <w:shd w:fill="F4F7F8"/>
          </w:tcPr>
          <w:p>
            <w:pPr>
              <w:spacing w:after="0"/>
            </w:pPr>
            <w:r>
              <w:rPr>
                <w:b/>
                <w:sz w:val="16"/>
              </w:rPr>
              <w:t>Blinding</w:t>
            </w:r>
          </w:p>
        </w:tc>
        <w:tc>
          <w:tcPr>
            <w:tcW w:type="dxa" w:w="8280"/>
            <w:vAlign w:val="center"/>
            <w:tcMar>
              <w:top w:w="72" w:type="dxa"/>
              <w:start w:w="82" w:type="dxa"/>
              <w:bottom w:w="72" w:type="dxa"/>
              <w:end w:w="82" w:type="dxa"/>
            </w:tcMar>
            <w:shd w:fill="F4F7F8"/>
          </w:tcPr>
          <w:p>
            <w:pPr>
              <w:spacing w:after="0"/>
            </w:pPr>
            <w:r>
              <w:rPr>
                <w:sz w:val="16"/>
              </w:rPr>
              <w:t>When practicable, remove names and condition labels from scored work; use at least two raters for subjective high-value samples.</w:t>
            </w:r>
          </w:p>
        </w:tc>
      </w:tr>
      <w:tr>
        <w:trPr>
          <w:cantSplit/>
        </w:trPr>
        <w:tc>
          <w:tcPr>
            <w:tcW w:type="dxa" w:w="1944"/>
            <w:vAlign w:val="center"/>
            <w:tcMar>
              <w:top w:w="72" w:type="dxa"/>
              <w:start w:w="82" w:type="dxa"/>
              <w:bottom w:w="72" w:type="dxa"/>
              <w:end w:w="82" w:type="dxa"/>
            </w:tcMar>
          </w:tcPr>
          <w:p>
            <w:pPr>
              <w:spacing w:after="0"/>
            </w:pPr>
            <w:r>
              <w:rPr>
                <w:b/>
                <w:sz w:val="16"/>
              </w:rPr>
              <w:t>Subgroups</w:t>
            </w:r>
          </w:p>
        </w:tc>
        <w:tc>
          <w:tcPr>
            <w:tcW w:type="dxa" w:w="8280"/>
            <w:vAlign w:val="center"/>
            <w:tcMar>
              <w:top w:w="72" w:type="dxa"/>
              <w:start w:w="82" w:type="dxa"/>
              <w:bottom w:w="72" w:type="dxa"/>
              <w:end w:w="82" w:type="dxa"/>
            </w:tcMar>
          </w:tcPr>
          <w:p>
            <w:pPr>
              <w:spacing w:after="0"/>
            </w:pPr>
            <w:r>
              <w:rPr>
                <w:sz w:val="16"/>
              </w:rPr>
              <w:t>Predefine analyses by prior performance, disability, language, age, family support, and existing distress only when sample size and privacy permit.</w:t>
            </w:r>
          </w:p>
        </w:tc>
      </w:tr>
      <w:tr>
        <w:trPr>
          <w:cantSplit/>
        </w:trPr>
        <w:tc>
          <w:tcPr>
            <w:tcW w:type="dxa" w:w="1944"/>
            <w:vAlign w:val="center"/>
            <w:tcMar>
              <w:top w:w="72" w:type="dxa"/>
              <w:start w:w="82" w:type="dxa"/>
              <w:bottom w:w="72" w:type="dxa"/>
              <w:end w:w="82" w:type="dxa"/>
            </w:tcMar>
            <w:shd w:fill="F4F7F8"/>
          </w:tcPr>
          <w:p>
            <w:pPr>
              <w:spacing w:after="0"/>
            </w:pPr>
            <w:r>
              <w:rPr>
                <w:b/>
                <w:sz w:val="16"/>
              </w:rPr>
              <w:t>Causal language</w:t>
            </w:r>
          </w:p>
        </w:tc>
        <w:tc>
          <w:tcPr>
            <w:tcW w:type="dxa" w:w="8280"/>
            <w:vAlign w:val="center"/>
            <w:tcMar>
              <w:top w:w="72" w:type="dxa"/>
              <w:start w:w="82" w:type="dxa"/>
              <w:bottom w:w="72" w:type="dxa"/>
              <w:end w:w="82" w:type="dxa"/>
            </w:tcMar>
            <w:shd w:fill="F4F7F8"/>
          </w:tcPr>
          <w:p>
            <w:pPr>
              <w:spacing w:after="0"/>
            </w:pPr>
            <w:r>
              <w:rPr>
                <w:sz w:val="16"/>
              </w:rPr>
              <w:t>Use causal claims only when design and implementation warrant them. Otherwise describe associations and plausible alternatives.</w:t>
            </w:r>
          </w:p>
        </w:tc>
      </w:tr>
    </w:tbl>
    <w:p>
      <w:pPr>
        <w:pStyle w:val="Heading1"/>
      </w:pPr>
      <w:r>
        <w:t>Time and transfer windows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6"/>
              </w:rPr>
              <w:t>Claim</w:t>
            </w:r>
          </w:p>
        </w:tc>
        <w:tc>
          <w:tcPr>
            <w:tcW w:type="dxa" w:w="8280"/>
            <w:vAlign w:val="center"/>
            <w:shd w:fill="193F58"/>
            <w:tcMar>
              <w:top w:w="72" w:type="dxa"/>
              <w:start w:w="82" w:type="dxa"/>
              <w:bottom w:w="72" w:type="dxa"/>
              <w:end w:w="82" w:type="dxa"/>
            </w:tcMar>
          </w:tcPr>
          <w:p>
            <w:pPr>
              <w:spacing w:after="0"/>
            </w:pPr>
            <w:r>
              <w:rPr>
                <w:b/>
                <w:color w:val="FFFFFF"/>
                <w:sz w:val="16"/>
              </w:rPr>
              <w:t>Minimum evidence</w:t>
            </w:r>
          </w:p>
        </w:tc>
      </w:tr>
      <w:tr>
        <w:trPr>
          <w:cantSplit/>
        </w:trPr>
        <w:tc>
          <w:tcPr>
            <w:tcW w:type="dxa" w:w="1944"/>
            <w:vAlign w:val="center"/>
            <w:tcMar>
              <w:top w:w="72" w:type="dxa"/>
              <w:start w:w="82" w:type="dxa"/>
              <w:bottom w:w="72" w:type="dxa"/>
              <w:end w:w="82" w:type="dxa"/>
            </w:tcMar>
          </w:tcPr>
          <w:p>
            <w:pPr>
              <w:spacing w:after="0"/>
            </w:pPr>
            <w:r>
              <w:rPr>
                <w:b/>
                <w:sz w:val="16"/>
              </w:rPr>
              <w:t>Immediate mastery</w:t>
            </w:r>
          </w:p>
        </w:tc>
        <w:tc>
          <w:tcPr>
            <w:tcW w:type="dxa" w:w="8280"/>
            <w:vAlign w:val="center"/>
            <w:tcMar>
              <w:top w:w="72" w:type="dxa"/>
              <w:start w:w="82" w:type="dxa"/>
              <w:bottom w:w="72" w:type="dxa"/>
              <w:end w:w="82" w:type="dxa"/>
            </w:tcMar>
          </w:tcPr>
          <w:p>
            <w:pPr>
              <w:spacing w:after="0"/>
            </w:pPr>
            <w:r>
              <w:rPr>
                <w:sz w:val="16"/>
              </w:rPr>
              <w:t>C2 within 24 hours under H0 conditions.</w:t>
            </w:r>
          </w:p>
        </w:tc>
      </w:tr>
      <w:tr>
        <w:trPr>
          <w:cantSplit/>
        </w:trPr>
        <w:tc>
          <w:tcPr>
            <w:tcW w:type="dxa" w:w="1944"/>
            <w:vAlign w:val="center"/>
            <w:tcMar>
              <w:top w:w="72" w:type="dxa"/>
              <w:start w:w="82" w:type="dxa"/>
              <w:bottom w:w="72" w:type="dxa"/>
              <w:end w:w="82" w:type="dxa"/>
            </w:tcMar>
            <w:shd w:fill="F4F7F8"/>
          </w:tcPr>
          <w:p>
            <w:pPr>
              <w:spacing w:after="0"/>
            </w:pPr>
            <w:r>
              <w:rPr>
                <w:b/>
                <w:sz w:val="16"/>
              </w:rPr>
              <w:t>Retention</w:t>
            </w:r>
          </w:p>
        </w:tc>
        <w:tc>
          <w:tcPr>
            <w:tcW w:type="dxa" w:w="8280"/>
            <w:vAlign w:val="center"/>
            <w:tcMar>
              <w:top w:w="72" w:type="dxa"/>
              <w:start w:w="82" w:type="dxa"/>
              <w:bottom w:w="72" w:type="dxa"/>
              <w:end w:w="82" w:type="dxa"/>
            </w:tcMar>
            <w:shd w:fill="F4F7F8"/>
          </w:tcPr>
          <w:p>
            <w:pPr>
              <w:spacing w:after="0"/>
            </w:pPr>
            <w:r>
              <w:rPr>
                <w:sz w:val="16"/>
              </w:rPr>
              <w:t>C3 after 2–4 weeks for most learners; shorter developmentally appropriate window may be justified for young children.</w:t>
            </w:r>
          </w:p>
        </w:tc>
      </w:tr>
      <w:tr>
        <w:trPr>
          <w:cantSplit/>
        </w:trPr>
        <w:tc>
          <w:tcPr>
            <w:tcW w:type="dxa" w:w="1944"/>
            <w:vAlign w:val="center"/>
            <w:tcMar>
              <w:top w:w="72" w:type="dxa"/>
              <w:start w:w="82" w:type="dxa"/>
              <w:bottom w:w="72" w:type="dxa"/>
              <w:end w:w="82" w:type="dxa"/>
            </w:tcMar>
          </w:tcPr>
          <w:p>
            <w:pPr>
              <w:spacing w:after="0"/>
            </w:pPr>
            <w:r>
              <w:rPr>
                <w:b/>
                <w:sz w:val="16"/>
              </w:rPr>
              <w:t>Near transfer</w:t>
            </w:r>
          </w:p>
        </w:tc>
        <w:tc>
          <w:tcPr>
            <w:tcW w:type="dxa" w:w="8280"/>
            <w:vAlign w:val="center"/>
            <w:tcMar>
              <w:top w:w="72" w:type="dxa"/>
              <w:start w:w="82" w:type="dxa"/>
              <w:bottom w:w="72" w:type="dxa"/>
              <w:end w:w="82" w:type="dxa"/>
            </w:tcMar>
          </w:tcPr>
          <w:p>
            <w:pPr>
              <w:spacing w:after="0"/>
            </w:pPr>
            <w:r>
              <w:rPr>
                <w:sz w:val="16"/>
              </w:rPr>
              <w:t>C4 uses new surface features in the same domain.</w:t>
            </w:r>
          </w:p>
        </w:tc>
      </w:tr>
      <w:tr>
        <w:trPr>
          <w:cantSplit/>
        </w:trPr>
        <w:tc>
          <w:tcPr>
            <w:tcW w:type="dxa" w:w="1944"/>
            <w:vAlign w:val="center"/>
            <w:tcMar>
              <w:top w:w="72" w:type="dxa"/>
              <w:start w:w="82" w:type="dxa"/>
              <w:bottom w:w="72" w:type="dxa"/>
              <w:end w:w="82" w:type="dxa"/>
            </w:tcMar>
            <w:shd w:fill="F4F7F8"/>
          </w:tcPr>
          <w:p>
            <w:pPr>
              <w:spacing w:after="0"/>
            </w:pPr>
            <w:r>
              <w:rPr>
                <w:b/>
                <w:sz w:val="16"/>
              </w:rPr>
              <w:t>Far transfer</w:t>
            </w:r>
          </w:p>
        </w:tc>
        <w:tc>
          <w:tcPr>
            <w:tcW w:type="dxa" w:w="8280"/>
            <w:vAlign w:val="center"/>
            <w:tcMar>
              <w:top w:w="72" w:type="dxa"/>
              <w:start w:w="82" w:type="dxa"/>
              <w:bottom w:w="72" w:type="dxa"/>
              <w:end w:w="82" w:type="dxa"/>
            </w:tcMar>
            <w:shd w:fill="F4F7F8"/>
          </w:tcPr>
          <w:p>
            <w:pPr>
              <w:spacing w:after="0"/>
            </w:pPr>
            <w:r>
              <w:rPr>
                <w:sz w:val="16"/>
              </w:rPr>
              <w:t>C4 uses the underlying principle in a different context; claim only when the new context is specified and scored.</w:t>
            </w:r>
          </w:p>
        </w:tc>
      </w:tr>
      <w:tr>
        <w:trPr>
          <w:cantSplit/>
        </w:trPr>
        <w:tc>
          <w:tcPr>
            <w:tcW w:type="dxa" w:w="1944"/>
            <w:vAlign w:val="center"/>
            <w:tcMar>
              <w:top w:w="72" w:type="dxa"/>
              <w:start w:w="82" w:type="dxa"/>
              <w:bottom w:w="72" w:type="dxa"/>
              <w:end w:w="82" w:type="dxa"/>
            </w:tcMar>
          </w:tcPr>
          <w:p>
            <w:pPr>
              <w:spacing w:after="0"/>
            </w:pPr>
            <w:r>
              <w:rPr>
                <w:b/>
                <w:sz w:val="16"/>
              </w:rPr>
              <w:t>Durability</w:t>
            </w:r>
          </w:p>
        </w:tc>
        <w:tc>
          <w:tcPr>
            <w:tcW w:type="dxa" w:w="8280"/>
            <w:vAlign w:val="center"/>
            <w:tcMar>
              <w:top w:w="72" w:type="dxa"/>
              <w:start w:w="82" w:type="dxa"/>
              <w:bottom w:w="72" w:type="dxa"/>
              <w:end w:w="82" w:type="dxa"/>
            </w:tcMar>
          </w:tcPr>
          <w:p>
            <w:pPr>
              <w:spacing w:after="0"/>
            </w:pPr>
            <w:r>
              <w:rPr>
                <w:sz w:val="16"/>
              </w:rPr>
              <w:t>More than one delayed point is preferable; a single end-of-course product is not durable-learning evidence.</w:t>
            </w:r>
          </w:p>
        </w:tc>
      </w:tr>
    </w:tbl>
    <w:p>
      <w:pPr>
        <w:spacing w:before="100" w:after="40"/>
      </w:pPr>
      <w:r>
        <w:rPr>
          <w:b/>
        </w:rPr>
        <w:t xml:space="preserve">Method sources  </w:t>
      </w:r>
      <w:hyperlink r:id="rId14">
        <w:r>
          <w:rPr>
            <w:color w:val="346685"/>
            <w:u w:val="single"/>
          </w:rPr>
          <w:t>WWC standards and protocols</w:t>
        </w:r>
      </w:hyperlink>
      <w:r>
        <w:t xml:space="preserve">  |  </w:t>
      </w:r>
      <w:hyperlink r:id="rId15">
        <w:r>
          <w:rPr>
            <w:color w:val="346685"/>
            <w:u w:val="single"/>
          </w:rPr>
          <w:t>Stanford SCALE 2026 review</w:t>
        </w:r>
      </w:hyperlink>
    </w:p>
    <w:p>
      <w:r>
        <w:br w:type="page"/>
      </w:r>
    </w:p>
    <w:p>
      <w:pPr>
        <w:pStyle w:val="Heading1"/>
      </w:pPr>
      <w:r>
        <w:t>Wellness and COVID context module</w:t>
      </w:r>
    </w:p>
    <w:p>
      <w:r>
        <w:t>Wellness is neither a proxy for academic performance nor a diagnosis. The module asks whether AI changes the conditions under which learning occurs and whether effects differ for students who entered COVID disruption with stable habits and support versus those already experiencing family dysregulation, isolation, weak friendships, disability-related barriers, or distress.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6"/>
              </w:rPr>
              <w:t>Context field</w:t>
            </w:r>
          </w:p>
        </w:tc>
        <w:tc>
          <w:tcPr>
            <w:tcW w:type="dxa" w:w="8280"/>
            <w:vAlign w:val="center"/>
            <w:shd w:fill="193F58"/>
            <w:tcMar>
              <w:top w:w="72" w:type="dxa"/>
              <w:start w:w="82" w:type="dxa"/>
              <w:bottom w:w="72" w:type="dxa"/>
              <w:end w:w="82" w:type="dxa"/>
            </w:tcMar>
          </w:tcPr>
          <w:p>
            <w:pPr>
              <w:spacing w:after="0"/>
            </w:pPr>
            <w:r>
              <w:rPr>
                <w:b/>
                <w:color w:val="FFFFFF"/>
                <w:sz w:val="16"/>
              </w:rPr>
              <w:t>Minimum record</w:t>
            </w:r>
          </w:p>
        </w:tc>
      </w:tr>
      <w:tr>
        <w:trPr>
          <w:cantSplit/>
        </w:trPr>
        <w:tc>
          <w:tcPr>
            <w:tcW w:type="dxa" w:w="1944"/>
            <w:vAlign w:val="center"/>
            <w:tcMar>
              <w:top w:w="72" w:type="dxa"/>
              <w:start w:w="82" w:type="dxa"/>
              <w:bottom w:w="72" w:type="dxa"/>
              <w:end w:w="82" w:type="dxa"/>
            </w:tcMar>
          </w:tcPr>
          <w:p>
            <w:pPr>
              <w:spacing w:after="0"/>
            </w:pPr>
            <w:r>
              <w:rPr>
                <w:b/>
                <w:sz w:val="16"/>
              </w:rPr>
              <w:t>Pre-COVID trajectory</w:t>
            </w:r>
          </w:p>
        </w:tc>
        <w:tc>
          <w:tcPr>
            <w:tcW w:type="dxa" w:w="8280"/>
            <w:vAlign w:val="center"/>
            <w:tcMar>
              <w:top w:w="72" w:type="dxa"/>
              <w:start w:w="82" w:type="dxa"/>
              <w:bottom w:w="72" w:type="dxa"/>
              <w:end w:w="82" w:type="dxa"/>
            </w:tcMar>
          </w:tcPr>
          <w:p>
            <w:pPr>
              <w:spacing w:after="0"/>
            </w:pPr>
            <w:r>
              <w:rPr>
                <w:sz w:val="16"/>
              </w:rPr>
              <w:t>Comparable academic, attendance, support, or wellness indicators before 2020 when available; do not reconstruct from memory alone.</w:t>
            </w:r>
          </w:p>
        </w:tc>
      </w:tr>
      <w:tr>
        <w:trPr>
          <w:cantSplit/>
        </w:trPr>
        <w:tc>
          <w:tcPr>
            <w:tcW w:type="dxa" w:w="1944"/>
            <w:vAlign w:val="center"/>
            <w:tcMar>
              <w:top w:w="72" w:type="dxa"/>
              <w:start w:w="82" w:type="dxa"/>
              <w:bottom w:w="72" w:type="dxa"/>
              <w:end w:w="82" w:type="dxa"/>
            </w:tcMar>
            <w:shd w:fill="F4F7F8"/>
          </w:tcPr>
          <w:p>
            <w:pPr>
              <w:spacing w:after="0"/>
            </w:pPr>
            <w:r>
              <w:rPr>
                <w:b/>
                <w:sz w:val="16"/>
              </w:rPr>
              <w:t>Disruption exposure</w:t>
            </w:r>
          </w:p>
        </w:tc>
        <w:tc>
          <w:tcPr>
            <w:tcW w:type="dxa" w:w="8280"/>
            <w:vAlign w:val="center"/>
            <w:tcMar>
              <w:top w:w="72" w:type="dxa"/>
              <w:start w:w="82" w:type="dxa"/>
              <w:bottom w:w="72" w:type="dxa"/>
              <w:end w:w="82" w:type="dxa"/>
            </w:tcMar>
            <w:shd w:fill="F4F7F8"/>
          </w:tcPr>
          <w:p>
            <w:pPr>
              <w:spacing w:after="0"/>
            </w:pPr>
            <w:r>
              <w:rPr>
                <w:sz w:val="16"/>
              </w:rPr>
              <w:t>School closure, emergency remote instruction, family illness or loss, device and internet access, housing or financial disruption.</w:t>
            </w:r>
          </w:p>
        </w:tc>
      </w:tr>
      <w:tr>
        <w:trPr>
          <w:cantSplit/>
        </w:trPr>
        <w:tc>
          <w:tcPr>
            <w:tcW w:type="dxa" w:w="1944"/>
            <w:vAlign w:val="center"/>
            <w:tcMar>
              <w:top w:w="72" w:type="dxa"/>
              <w:start w:w="82" w:type="dxa"/>
              <w:bottom w:w="72" w:type="dxa"/>
              <w:end w:w="82" w:type="dxa"/>
            </w:tcMar>
          </w:tcPr>
          <w:p>
            <w:pPr>
              <w:spacing w:after="0"/>
            </w:pPr>
            <w:r>
              <w:rPr>
                <w:b/>
                <w:sz w:val="16"/>
              </w:rPr>
              <w:t>Prior condition</w:t>
            </w:r>
          </w:p>
        </w:tc>
        <w:tc>
          <w:tcPr>
            <w:tcW w:type="dxa" w:w="8280"/>
            <w:vAlign w:val="center"/>
            <w:tcMar>
              <w:top w:w="72" w:type="dxa"/>
              <w:start w:w="82" w:type="dxa"/>
              <w:bottom w:w="72" w:type="dxa"/>
              <w:end w:w="82" w:type="dxa"/>
            </w:tcMar>
          </w:tcPr>
          <w:p>
            <w:pPr>
              <w:spacing w:after="0"/>
            </w:pPr>
            <w:r>
              <w:rPr>
                <w:sz w:val="16"/>
              </w:rPr>
              <w:t>Learning habits, attention, friendships, family stability, disability support, and distress before or at the start of disruption.</w:t>
            </w:r>
          </w:p>
        </w:tc>
      </w:tr>
      <w:tr>
        <w:trPr>
          <w:cantSplit/>
        </w:trPr>
        <w:tc>
          <w:tcPr>
            <w:tcW w:type="dxa" w:w="1944"/>
            <w:vAlign w:val="center"/>
            <w:tcMar>
              <w:top w:w="72" w:type="dxa"/>
              <w:start w:w="82" w:type="dxa"/>
              <w:bottom w:w="72" w:type="dxa"/>
              <w:end w:w="82" w:type="dxa"/>
            </w:tcMar>
            <w:shd w:fill="F4F7F8"/>
          </w:tcPr>
          <w:p>
            <w:pPr>
              <w:spacing w:after="0"/>
            </w:pPr>
            <w:r>
              <w:rPr>
                <w:b/>
                <w:sz w:val="16"/>
              </w:rPr>
              <w:t>Recovery conditions</w:t>
            </w:r>
          </w:p>
        </w:tc>
        <w:tc>
          <w:tcPr>
            <w:tcW w:type="dxa" w:w="8280"/>
            <w:vAlign w:val="center"/>
            <w:tcMar>
              <w:top w:w="72" w:type="dxa"/>
              <w:start w:w="82" w:type="dxa"/>
              <w:bottom w:w="72" w:type="dxa"/>
              <w:end w:w="82" w:type="dxa"/>
            </w:tcMar>
            <w:shd w:fill="F4F7F8"/>
          </w:tcPr>
          <w:p>
            <w:pPr>
              <w:spacing w:after="0"/>
            </w:pPr>
            <w:r>
              <w:rPr>
                <w:sz w:val="16"/>
              </w:rPr>
              <w:t>Return to in-person learning, tutoring, counseling, family capacity, peer reconnection, attendance, and continuity of instruction.</w:t>
            </w:r>
          </w:p>
        </w:tc>
      </w:tr>
      <w:tr>
        <w:trPr>
          <w:cantSplit/>
        </w:trPr>
        <w:tc>
          <w:tcPr>
            <w:tcW w:type="dxa" w:w="1944"/>
            <w:vAlign w:val="center"/>
            <w:tcMar>
              <w:top w:w="72" w:type="dxa"/>
              <w:start w:w="82" w:type="dxa"/>
              <w:bottom w:w="72" w:type="dxa"/>
              <w:end w:w="82" w:type="dxa"/>
            </w:tcMar>
          </w:tcPr>
          <w:p>
            <w:pPr>
              <w:spacing w:after="0"/>
            </w:pPr>
            <w:r>
              <w:rPr>
                <w:b/>
                <w:sz w:val="16"/>
              </w:rPr>
              <w:t>AI-era exposure</w:t>
            </w:r>
          </w:p>
        </w:tc>
        <w:tc>
          <w:tcPr>
            <w:tcW w:type="dxa" w:w="8280"/>
            <w:vAlign w:val="center"/>
            <w:tcMar>
              <w:top w:w="72" w:type="dxa"/>
              <w:start w:w="82" w:type="dxa"/>
              <w:bottom w:w="72" w:type="dxa"/>
              <w:end w:w="82" w:type="dxa"/>
            </w:tcMar>
          </w:tcPr>
          <w:p>
            <w:pPr>
              <w:spacing w:after="0"/>
            </w:pPr>
            <w:r>
              <w:rPr>
                <w:sz w:val="16"/>
              </w:rPr>
              <w:t>Tool, frequency, duration, purpose, age of first use, teacher or parent mediation, and whether use replaced or supplemented human support.</w:t>
            </w:r>
          </w:p>
        </w:tc>
      </w:tr>
      <w:tr>
        <w:trPr>
          <w:cantSplit/>
        </w:trPr>
        <w:tc>
          <w:tcPr>
            <w:tcW w:type="dxa" w:w="1944"/>
            <w:vAlign w:val="center"/>
            <w:tcMar>
              <w:top w:w="72" w:type="dxa"/>
              <w:start w:w="82" w:type="dxa"/>
              <w:bottom w:w="72" w:type="dxa"/>
              <w:end w:w="82" w:type="dxa"/>
            </w:tcMar>
            <w:shd w:fill="F4F7F8"/>
          </w:tcPr>
          <w:p>
            <w:pPr>
              <w:spacing w:after="0"/>
            </w:pPr>
            <w:r>
              <w:rPr>
                <w:b/>
                <w:sz w:val="16"/>
              </w:rPr>
              <w:t>Current indicators</w:t>
            </w:r>
          </w:p>
        </w:tc>
        <w:tc>
          <w:tcPr>
            <w:tcW w:type="dxa" w:w="8280"/>
            <w:vAlign w:val="center"/>
            <w:tcMar>
              <w:top w:w="72" w:type="dxa"/>
              <w:start w:w="82" w:type="dxa"/>
              <w:bottom w:w="72" w:type="dxa"/>
              <w:end w:w="82" w:type="dxa"/>
            </w:tcMar>
            <w:shd w:fill="F4F7F8"/>
          </w:tcPr>
          <w:p>
            <w:pPr>
              <w:spacing w:after="0"/>
            </w:pPr>
            <w:r>
              <w:rPr>
                <w:sz w:val="16"/>
              </w:rPr>
              <w:t>Attention, sleep, workload, frustration tolerance, belonging, loneliness, friendship, trusted-adult access, and help-seeking.</w:t>
            </w:r>
          </w:p>
        </w:tc>
      </w:tr>
    </w:tbl>
    <w:p>
      <w:pPr>
        <w:pStyle w:val="Heading1"/>
      </w:pPr>
      <w:r>
        <w:t>Interpretation boundaries</w:t>
      </w:r>
    </w:p>
    <w:p>
      <w:pPr>
        <w:pStyle w:val="ListBullet"/>
      </w:pPr>
      <w:r>
        <w:t>Do not attribute a current difficulty to COVID merely because the student experienced school closure.</w:t>
      </w:r>
    </w:p>
    <w:p>
      <w:pPr>
        <w:pStyle w:val="ListBullet"/>
      </w:pPr>
      <w:r>
        <w:t>Do not treat stable homeschooling before 2020 as equivalent to emergency crisis schooling.</w:t>
      </w:r>
    </w:p>
    <w:p>
      <w:pPr>
        <w:pStyle w:val="ListBullet"/>
      </w:pPr>
      <w:r>
        <w:t>Do not infer that AI caused improved or worsened wellness from simultaneous adoption; examine timing and alternatives.</w:t>
      </w:r>
    </w:p>
    <w:p>
      <w:pPr>
        <w:pStyle w:val="ListBullet"/>
      </w:pPr>
      <w:r>
        <w:t>Do not label engagement, convenience, satisfaction, or product completion as mental fitness.</w:t>
      </w:r>
    </w:p>
    <w:p>
      <w:pPr>
        <w:pStyle w:val="ListBullet"/>
      </w:pPr>
      <w:r>
        <w:t>Report when samples are too small to support subgroup conclusions and suppress identifiable combinations.</w:t>
      </w:r>
    </w:p>
    <w:p>
      <w:pPr>
        <w:pStyle w:val="Heading1"/>
      </w:pPr>
      <w:r>
        <w:t>Stop conditions</w:t>
      </w:r>
    </w:p>
    <w:p>
      <w:pPr>
        <w:pStyle w:val="ListBullet"/>
      </w:pPr>
      <w:r>
        <w:t>Pause an activity if it creates more than minimal unanticipated risk, exposes sensitive student information, or conflicts with required accommodations.</w:t>
      </w:r>
    </w:p>
    <w:p>
      <w:pPr>
        <w:pStyle w:val="ListBullet"/>
      </w:pPr>
      <w:r>
        <w:t>Escalate credible self-harm, abuse, or immediate-safety disclosures through trained human procedures; never delegate the judgment to an AI system.</w:t>
      </w:r>
    </w:p>
    <w:p>
      <w:pPr>
        <w:pStyle w:val="ListBullet"/>
      </w:pPr>
      <w:r>
        <w:t>Do not use performance discrepancies, detector scores, or writing-style changes as sole evidence of misconduct.</w:t>
      </w:r>
    </w:p>
    <w:p>
      <w:r>
        <w:br w:type="page"/>
      </w:r>
    </w:p>
    <w:p>
      <w:pPr>
        <w:pStyle w:val="Heading1"/>
      </w:pPr>
      <w:r>
        <w:t>Application to the ten California institutions</w:t>
      </w:r>
    </w:p>
    <w:tbl>
      <w:tblPr>
        <w:tblStyle w:val="TableGrid"/>
        <w:tblW w:type="auto" w:w="0"/>
        <w:jc w:val="center"/>
        <w:tblLayout w:type="fixed"/>
        <w:tblLook w:firstColumn="1" w:firstRow="1" w:lastColumn="0" w:lastRow="0" w:noHBand="0" w:noVBand="1" w:val="04A0"/>
      </w:tblPr>
      <w:tblGrid>
        <w:gridCol w:w="2068"/>
        <w:gridCol w:w="2068"/>
        <w:gridCol w:w="2068"/>
        <w:gridCol w:w="2068"/>
        <w:gridCol w:w="2068"/>
      </w:tblGrid>
      <w:tr>
        <w:trPr>
          <w:tblHeader w:val="true"/>
          <w:cantSplit/>
        </w:trPr>
        <w:tc>
          <w:tcPr>
            <w:tcW w:type="dxa" w:w="1613"/>
            <w:vAlign w:val="center"/>
            <w:shd w:fill="193F58"/>
            <w:tcMar>
              <w:top w:w="72" w:type="dxa"/>
              <w:start w:w="82" w:type="dxa"/>
              <w:bottom w:w="72" w:type="dxa"/>
              <w:end w:w="82" w:type="dxa"/>
            </w:tcMar>
          </w:tcPr>
          <w:p>
            <w:pPr>
              <w:spacing w:after="0"/>
            </w:pPr>
            <w:r>
              <w:rPr>
                <w:b/>
                <w:color w:val="FFFFFF"/>
                <w:sz w:val="13"/>
              </w:rPr>
              <w:t>Institution</w:t>
            </w:r>
          </w:p>
        </w:tc>
        <w:tc>
          <w:tcPr>
            <w:tcW w:type="dxa" w:w="2117"/>
            <w:vAlign w:val="center"/>
            <w:shd w:fill="193F58"/>
            <w:tcMar>
              <w:top w:w="72" w:type="dxa"/>
              <w:start w:w="82" w:type="dxa"/>
              <w:bottom w:w="72" w:type="dxa"/>
              <w:end w:w="82" w:type="dxa"/>
            </w:tcMar>
          </w:tcPr>
          <w:p>
            <w:pPr>
              <w:spacing w:after="0"/>
            </w:pPr>
            <w:r>
              <w:rPr>
                <w:b/>
                <w:color w:val="FFFFFF"/>
                <w:sz w:val="13"/>
              </w:rPr>
              <w:t>Practice unit</w:t>
            </w:r>
          </w:p>
        </w:tc>
        <w:tc>
          <w:tcPr>
            <w:tcW w:type="dxa" w:w="2275"/>
            <w:vAlign w:val="center"/>
            <w:shd w:fill="193F58"/>
            <w:tcMar>
              <w:top w:w="72" w:type="dxa"/>
              <w:start w:w="82" w:type="dxa"/>
              <w:bottom w:w="72" w:type="dxa"/>
              <w:end w:w="82" w:type="dxa"/>
            </w:tcMar>
          </w:tcPr>
          <w:p>
            <w:pPr>
              <w:spacing w:after="0"/>
            </w:pPr>
            <w:r>
              <w:rPr>
                <w:b/>
                <w:color w:val="FFFFFF"/>
                <w:sz w:val="13"/>
              </w:rPr>
              <w:t>Protected check</w:t>
            </w:r>
          </w:p>
        </w:tc>
        <w:tc>
          <w:tcPr>
            <w:tcW w:type="dxa" w:w="2059"/>
            <w:vAlign w:val="center"/>
            <w:shd w:fill="193F58"/>
            <w:tcMar>
              <w:top w:w="72" w:type="dxa"/>
              <w:start w:w="82" w:type="dxa"/>
              <w:bottom w:w="72" w:type="dxa"/>
              <w:end w:w="82" w:type="dxa"/>
            </w:tcMar>
          </w:tcPr>
          <w:p>
            <w:pPr>
              <w:spacing w:after="0"/>
            </w:pPr>
            <w:r>
              <w:rPr>
                <w:b/>
                <w:color w:val="FFFFFF"/>
                <w:sz w:val="13"/>
              </w:rPr>
              <w:t>Delayed or transfer task</w:t>
            </w:r>
          </w:p>
        </w:tc>
        <w:tc>
          <w:tcPr>
            <w:tcW w:type="dxa" w:w="2160"/>
            <w:vAlign w:val="center"/>
            <w:shd w:fill="193F58"/>
            <w:tcMar>
              <w:top w:w="72" w:type="dxa"/>
              <w:start w:w="82" w:type="dxa"/>
              <w:bottom w:w="72" w:type="dxa"/>
              <w:end w:w="82" w:type="dxa"/>
            </w:tcMar>
          </w:tcPr>
          <w:p>
            <w:pPr>
              <w:spacing w:after="0"/>
            </w:pPr>
            <w:r>
              <w:rPr>
                <w:b/>
                <w:color w:val="FFFFFF"/>
                <w:sz w:val="13"/>
              </w:rPr>
              <w:t>Priority control</w:t>
            </w:r>
          </w:p>
        </w:tc>
      </w:tr>
      <w:tr>
        <w:trPr>
          <w:cantSplit/>
        </w:trPr>
        <w:tc>
          <w:tcPr>
            <w:tcW w:type="dxa" w:w="1613"/>
            <w:vAlign w:val="center"/>
            <w:tcMar>
              <w:top w:w="72" w:type="dxa"/>
              <w:start w:w="82" w:type="dxa"/>
              <w:bottom w:w="72" w:type="dxa"/>
              <w:end w:w="82" w:type="dxa"/>
            </w:tcMar>
          </w:tcPr>
          <w:p>
            <w:pPr>
              <w:spacing w:after="0"/>
            </w:pPr>
            <w:r>
              <w:rPr>
                <w:b/>
                <w:sz w:val="13"/>
              </w:rPr>
              <w:t>UC Berkeley</w:t>
            </w:r>
          </w:p>
        </w:tc>
        <w:tc>
          <w:tcPr>
            <w:tcW w:type="dxa" w:w="2117"/>
            <w:vAlign w:val="center"/>
            <w:tcMar>
              <w:top w:w="72" w:type="dxa"/>
              <w:start w:w="82" w:type="dxa"/>
              <w:bottom w:w="72" w:type="dxa"/>
              <w:end w:w="82" w:type="dxa"/>
            </w:tcMar>
          </w:tcPr>
          <w:p>
            <w:pPr>
              <w:spacing w:after="0"/>
            </w:pPr>
            <w:r>
              <w:rPr>
                <w:sz w:val="13"/>
              </w:rPr>
              <w:t>Berkeley Law writing or doctrinal task</w:t>
            </w:r>
          </w:p>
        </w:tc>
        <w:tc>
          <w:tcPr>
            <w:tcW w:type="dxa" w:w="2275"/>
            <w:vAlign w:val="center"/>
            <w:tcMar>
              <w:top w:w="72" w:type="dxa"/>
              <w:start w:w="82" w:type="dxa"/>
              <w:bottom w:w="72" w:type="dxa"/>
              <w:end w:w="82" w:type="dxa"/>
            </w:tcMar>
          </w:tcPr>
          <w:p>
            <w:pPr>
              <w:spacing w:after="0"/>
            </w:pPr>
            <w:r>
              <w:rPr>
                <w:sz w:val="13"/>
              </w:rPr>
              <w:t>Closed-resource issue spotting plus oral defense</w:t>
            </w:r>
          </w:p>
        </w:tc>
        <w:tc>
          <w:tcPr>
            <w:tcW w:type="dxa" w:w="2059"/>
            <w:vAlign w:val="center"/>
            <w:tcMar>
              <w:top w:w="72" w:type="dxa"/>
              <w:start w:w="82" w:type="dxa"/>
              <w:bottom w:w="72" w:type="dxa"/>
              <w:end w:w="82" w:type="dxa"/>
            </w:tcMar>
          </w:tcPr>
          <w:p>
            <w:pPr>
              <w:spacing w:after="0"/>
            </w:pPr>
            <w:r>
              <w:rPr>
                <w:sz w:val="13"/>
              </w:rPr>
              <w:t>New fact pattern after 2–4 weeks</w:t>
            </w:r>
          </w:p>
        </w:tc>
        <w:tc>
          <w:tcPr>
            <w:tcW w:type="dxa" w:w="2160"/>
            <w:vAlign w:val="center"/>
            <w:tcMar>
              <w:top w:w="72" w:type="dxa"/>
              <w:start w:w="82" w:type="dxa"/>
              <w:bottom w:w="72" w:type="dxa"/>
              <w:end w:w="82" w:type="dxa"/>
            </w:tcMar>
          </w:tcPr>
          <w:p>
            <w:pPr>
              <w:spacing w:after="0"/>
            </w:pPr>
            <w:r>
              <w:rPr>
                <w:sz w:val="13"/>
              </w:rPr>
              <w:t>Authorized exceptions, citation accuracy, faculty variation</w:t>
            </w:r>
          </w:p>
        </w:tc>
      </w:tr>
      <w:tr>
        <w:trPr>
          <w:cantSplit/>
        </w:trPr>
        <w:tc>
          <w:tcPr>
            <w:tcW w:type="dxa" w:w="1613"/>
            <w:vAlign w:val="center"/>
            <w:tcMar>
              <w:top w:w="72" w:type="dxa"/>
              <w:start w:w="82" w:type="dxa"/>
              <w:bottom w:w="72" w:type="dxa"/>
              <w:end w:w="82" w:type="dxa"/>
            </w:tcMar>
            <w:shd w:fill="F4F7F8"/>
          </w:tcPr>
          <w:p>
            <w:pPr>
              <w:spacing w:after="0"/>
            </w:pPr>
            <w:r>
              <w:rPr>
                <w:b/>
                <w:sz w:val="13"/>
              </w:rPr>
              <w:t>UCLA</w:t>
            </w:r>
          </w:p>
        </w:tc>
        <w:tc>
          <w:tcPr>
            <w:tcW w:type="dxa" w:w="2117"/>
            <w:vAlign w:val="center"/>
            <w:tcMar>
              <w:top w:w="72" w:type="dxa"/>
              <w:start w:w="82" w:type="dxa"/>
              <w:bottom w:w="72" w:type="dxa"/>
              <w:end w:w="82" w:type="dxa"/>
            </w:tcMar>
            <w:shd w:fill="F4F7F8"/>
          </w:tcPr>
          <w:p>
            <w:pPr>
              <w:spacing w:after="0"/>
            </w:pPr>
            <w:r>
              <w:rPr>
                <w:sz w:val="13"/>
              </w:rPr>
              <w:t>AI Literacy Module plus Faculty Fellows course</w:t>
            </w:r>
          </w:p>
        </w:tc>
        <w:tc>
          <w:tcPr>
            <w:tcW w:type="dxa" w:w="2275"/>
            <w:vAlign w:val="center"/>
            <w:tcMar>
              <w:top w:w="72" w:type="dxa"/>
              <w:start w:w="82" w:type="dxa"/>
              <w:bottom w:w="72" w:type="dxa"/>
              <w:end w:w="82" w:type="dxa"/>
            </w:tcMar>
            <w:shd w:fill="F4F7F8"/>
          </w:tcPr>
          <w:p>
            <w:pPr>
              <w:spacing w:after="0"/>
            </w:pPr>
            <w:r>
              <w:rPr>
                <w:sz w:val="13"/>
              </w:rPr>
              <w:t>Supervised correction and concept explanation</w:t>
            </w:r>
          </w:p>
        </w:tc>
        <w:tc>
          <w:tcPr>
            <w:tcW w:type="dxa" w:w="2059"/>
            <w:vAlign w:val="center"/>
            <w:tcMar>
              <w:top w:w="72" w:type="dxa"/>
              <w:start w:w="82" w:type="dxa"/>
              <w:bottom w:w="72" w:type="dxa"/>
              <w:end w:w="82" w:type="dxa"/>
            </w:tcMar>
            <w:shd w:fill="F4F7F8"/>
          </w:tcPr>
          <w:p>
            <w:pPr>
              <w:spacing w:after="0"/>
            </w:pPr>
            <w:r>
              <w:rPr>
                <w:sz w:val="13"/>
              </w:rPr>
              <w:t>New misleading output or source set</w:t>
            </w:r>
          </w:p>
        </w:tc>
        <w:tc>
          <w:tcPr>
            <w:tcW w:type="dxa" w:w="2160"/>
            <w:vAlign w:val="center"/>
            <w:tcMar>
              <w:top w:w="72" w:type="dxa"/>
              <w:start w:w="82" w:type="dxa"/>
              <w:bottom w:w="72" w:type="dxa"/>
              <w:end w:w="82" w:type="dxa"/>
            </w:tcMar>
            <w:shd w:fill="F4F7F8"/>
          </w:tcPr>
          <w:p>
            <w:pPr>
              <w:spacing w:after="0"/>
            </w:pPr>
            <w:r>
              <w:rPr>
                <w:sz w:val="13"/>
              </w:rPr>
              <w:t>Module completion, course design, behavior beyond awareness</w:t>
            </w:r>
          </w:p>
        </w:tc>
      </w:tr>
      <w:tr>
        <w:trPr>
          <w:cantSplit/>
        </w:trPr>
        <w:tc>
          <w:tcPr>
            <w:tcW w:type="dxa" w:w="1613"/>
            <w:vAlign w:val="center"/>
            <w:tcMar>
              <w:top w:w="72" w:type="dxa"/>
              <w:start w:w="82" w:type="dxa"/>
              <w:bottom w:w="72" w:type="dxa"/>
              <w:end w:w="82" w:type="dxa"/>
            </w:tcMar>
          </w:tcPr>
          <w:p>
            <w:pPr>
              <w:spacing w:after="0"/>
            </w:pPr>
            <w:r>
              <w:rPr>
                <w:b/>
                <w:sz w:val="13"/>
              </w:rPr>
              <w:t>Stanford</w:t>
            </w:r>
          </w:p>
        </w:tc>
        <w:tc>
          <w:tcPr>
            <w:tcW w:type="dxa" w:w="2117"/>
            <w:vAlign w:val="center"/>
            <w:tcMar>
              <w:top w:w="72" w:type="dxa"/>
              <w:start w:w="82" w:type="dxa"/>
              <w:bottom w:w="72" w:type="dxa"/>
              <w:end w:w="82" w:type="dxa"/>
            </w:tcMar>
          </w:tcPr>
          <w:p>
            <w:pPr>
              <w:spacing w:after="0"/>
            </w:pPr>
            <w:r>
              <w:rPr>
                <w:sz w:val="13"/>
              </w:rPr>
              <w:t>COLLEGE 102 policy memo</w:t>
            </w:r>
          </w:p>
        </w:tc>
        <w:tc>
          <w:tcPr>
            <w:tcW w:type="dxa" w:w="2275"/>
            <w:vAlign w:val="center"/>
            <w:tcMar>
              <w:top w:w="72" w:type="dxa"/>
              <w:start w:w="82" w:type="dxa"/>
              <w:bottom w:w="72" w:type="dxa"/>
              <w:end w:w="82" w:type="dxa"/>
            </w:tcMar>
          </w:tcPr>
          <w:p>
            <w:pPr>
              <w:spacing w:after="0"/>
            </w:pPr>
            <w:r>
              <w:rPr>
                <w:sz w:val="13"/>
              </w:rPr>
              <w:t>Individual understanding check</w:t>
            </w:r>
          </w:p>
        </w:tc>
        <w:tc>
          <w:tcPr>
            <w:tcW w:type="dxa" w:w="2059"/>
            <w:vAlign w:val="center"/>
            <w:tcMar>
              <w:top w:w="72" w:type="dxa"/>
              <w:start w:w="82" w:type="dxa"/>
              <w:bottom w:w="72" w:type="dxa"/>
              <w:end w:w="82" w:type="dxa"/>
            </w:tcMar>
          </w:tcPr>
          <w:p>
            <w:pPr>
              <w:spacing w:after="0"/>
            </w:pPr>
            <w:r>
              <w:rPr>
                <w:sz w:val="13"/>
              </w:rPr>
              <w:t>Apply policy principles to a new assessment</w:t>
            </w:r>
          </w:p>
        </w:tc>
        <w:tc>
          <w:tcPr>
            <w:tcW w:type="dxa" w:w="2160"/>
            <w:vAlign w:val="center"/>
            <w:tcMar>
              <w:top w:w="72" w:type="dxa"/>
              <w:start w:w="82" w:type="dxa"/>
              <w:bottom w:w="72" w:type="dxa"/>
              <w:end w:w="82" w:type="dxa"/>
            </w:tcMar>
          </w:tcPr>
          <w:p>
            <w:pPr>
              <w:spacing w:after="0"/>
            </w:pPr>
            <w:r>
              <w:rPr>
                <w:sz w:val="13"/>
              </w:rPr>
              <w:t>Proposal adoption, individual versus group learning</w:t>
            </w:r>
          </w:p>
        </w:tc>
      </w:tr>
      <w:tr>
        <w:trPr>
          <w:cantSplit/>
        </w:trPr>
        <w:tc>
          <w:tcPr>
            <w:tcW w:type="dxa" w:w="1613"/>
            <w:vAlign w:val="center"/>
            <w:tcMar>
              <w:top w:w="72" w:type="dxa"/>
              <w:start w:w="82" w:type="dxa"/>
              <w:bottom w:w="72" w:type="dxa"/>
              <w:end w:w="82" w:type="dxa"/>
            </w:tcMar>
            <w:shd w:fill="F4F7F8"/>
          </w:tcPr>
          <w:p>
            <w:pPr>
              <w:spacing w:after="0"/>
            </w:pPr>
            <w:r>
              <w:rPr>
                <w:b/>
                <w:sz w:val="13"/>
              </w:rPr>
              <w:t>USC</w:t>
            </w:r>
          </w:p>
        </w:tc>
        <w:tc>
          <w:tcPr>
            <w:tcW w:type="dxa" w:w="2117"/>
            <w:vAlign w:val="center"/>
            <w:tcMar>
              <w:top w:w="72" w:type="dxa"/>
              <w:start w:w="82" w:type="dxa"/>
              <w:bottom w:w="72" w:type="dxa"/>
              <w:end w:w="82" w:type="dxa"/>
            </w:tcMar>
            <w:shd w:fill="F4F7F8"/>
          </w:tcPr>
          <w:p>
            <w:pPr>
              <w:spacing w:after="0"/>
            </w:pPr>
            <w:r>
              <w:rPr>
                <w:sz w:val="13"/>
              </w:rPr>
              <w:t>ChatGPT Edu course workflow</w:t>
            </w:r>
          </w:p>
        </w:tc>
        <w:tc>
          <w:tcPr>
            <w:tcW w:type="dxa" w:w="2275"/>
            <w:vAlign w:val="center"/>
            <w:tcMar>
              <w:top w:w="72" w:type="dxa"/>
              <w:start w:w="82" w:type="dxa"/>
              <w:bottom w:w="72" w:type="dxa"/>
              <w:end w:w="82" w:type="dxa"/>
            </w:tcMar>
            <w:shd w:fill="F4F7F8"/>
          </w:tcPr>
          <w:p>
            <w:pPr>
              <w:spacing w:after="0"/>
            </w:pPr>
            <w:r>
              <w:rPr>
                <w:sz w:val="13"/>
              </w:rPr>
              <w:t>Reproduce reasoning and correct one flawed output</w:t>
            </w:r>
          </w:p>
        </w:tc>
        <w:tc>
          <w:tcPr>
            <w:tcW w:type="dxa" w:w="2059"/>
            <w:vAlign w:val="center"/>
            <w:tcMar>
              <w:top w:w="72" w:type="dxa"/>
              <w:start w:w="82" w:type="dxa"/>
              <w:bottom w:w="72" w:type="dxa"/>
              <w:end w:w="82" w:type="dxa"/>
            </w:tcMar>
            <w:shd w:fill="F4F7F8"/>
          </w:tcPr>
          <w:p>
            <w:pPr>
              <w:spacing w:after="0"/>
            </w:pPr>
            <w:r>
              <w:rPr>
                <w:sz w:val="13"/>
              </w:rPr>
              <w:t>New prompt or professional scenario</w:t>
            </w:r>
          </w:p>
        </w:tc>
        <w:tc>
          <w:tcPr>
            <w:tcW w:type="dxa" w:w="2160"/>
            <w:vAlign w:val="center"/>
            <w:tcMar>
              <w:top w:w="72" w:type="dxa"/>
              <w:start w:w="82" w:type="dxa"/>
              <w:bottom w:w="72" w:type="dxa"/>
              <w:end w:w="82" w:type="dxa"/>
            </w:tcMar>
            <w:shd w:fill="F4F7F8"/>
          </w:tcPr>
          <w:p>
            <w:pPr>
              <w:spacing w:after="0"/>
            </w:pPr>
            <w:r>
              <w:rPr>
                <w:sz w:val="13"/>
              </w:rPr>
              <w:t>Tool-only versus AI-plus-faculty support</w:t>
            </w:r>
          </w:p>
        </w:tc>
      </w:tr>
      <w:tr>
        <w:trPr>
          <w:cantSplit/>
        </w:trPr>
        <w:tc>
          <w:tcPr>
            <w:tcW w:type="dxa" w:w="1613"/>
            <w:vAlign w:val="center"/>
            <w:tcMar>
              <w:top w:w="72" w:type="dxa"/>
              <w:start w:w="82" w:type="dxa"/>
              <w:bottom w:w="72" w:type="dxa"/>
              <w:end w:w="82" w:type="dxa"/>
            </w:tcMar>
          </w:tcPr>
          <w:p>
            <w:pPr>
              <w:spacing w:after="0"/>
            </w:pPr>
            <w:r>
              <w:rPr>
                <w:b/>
                <w:sz w:val="13"/>
              </w:rPr>
              <w:t>Caltech</w:t>
            </w:r>
          </w:p>
        </w:tc>
        <w:tc>
          <w:tcPr>
            <w:tcW w:type="dxa" w:w="2117"/>
            <w:vAlign w:val="center"/>
            <w:tcMar>
              <w:top w:w="72" w:type="dxa"/>
              <w:start w:w="82" w:type="dxa"/>
              <w:bottom w:w="72" w:type="dxa"/>
              <w:end w:w="82" w:type="dxa"/>
            </w:tcMar>
          </w:tcPr>
          <w:p>
            <w:pPr>
              <w:spacing w:after="0"/>
            </w:pPr>
            <w:r>
              <w:rPr>
                <w:sz w:val="13"/>
              </w:rPr>
              <w:t>Ethics-and-writing or technical course</w:t>
            </w:r>
          </w:p>
        </w:tc>
        <w:tc>
          <w:tcPr>
            <w:tcW w:type="dxa" w:w="2275"/>
            <w:vAlign w:val="center"/>
            <w:tcMar>
              <w:top w:w="72" w:type="dxa"/>
              <w:start w:w="82" w:type="dxa"/>
              <w:bottom w:w="72" w:type="dxa"/>
              <w:end w:w="82" w:type="dxa"/>
            </w:tcMar>
          </w:tcPr>
          <w:p>
            <w:pPr>
              <w:spacing w:after="0"/>
            </w:pPr>
            <w:r>
              <w:rPr>
                <w:sz w:val="13"/>
              </w:rPr>
              <w:t>In-class analysis, oral conference, or proctored problem</w:t>
            </w:r>
          </w:p>
        </w:tc>
        <w:tc>
          <w:tcPr>
            <w:tcW w:type="dxa" w:w="2059"/>
            <w:vAlign w:val="center"/>
            <w:tcMar>
              <w:top w:w="72" w:type="dxa"/>
              <w:start w:w="82" w:type="dxa"/>
              <w:bottom w:w="72" w:type="dxa"/>
              <w:end w:w="82" w:type="dxa"/>
            </w:tcMar>
          </w:tcPr>
          <w:p>
            <w:pPr>
              <w:spacing w:after="0"/>
            </w:pPr>
            <w:r>
              <w:rPr>
                <w:sz w:val="13"/>
              </w:rPr>
              <w:t>New scientific, quantitative, or ethical case</w:t>
            </w:r>
          </w:p>
        </w:tc>
        <w:tc>
          <w:tcPr>
            <w:tcW w:type="dxa" w:w="2160"/>
            <w:vAlign w:val="center"/>
            <w:tcMar>
              <w:top w:w="72" w:type="dxa"/>
              <w:start w:w="82" w:type="dxa"/>
              <w:bottom w:w="72" w:type="dxa"/>
              <w:end w:w="82" w:type="dxa"/>
            </w:tcMar>
          </w:tcPr>
          <w:p>
            <w:pPr>
              <w:spacing w:after="0"/>
            </w:pPr>
            <w:r>
              <w:rPr>
                <w:sz w:val="13"/>
              </w:rPr>
              <w:t>Cross-division transfer, trust, detector practice</w:t>
            </w:r>
          </w:p>
        </w:tc>
      </w:tr>
      <w:tr>
        <w:trPr>
          <w:cantSplit/>
        </w:trPr>
        <w:tc>
          <w:tcPr>
            <w:tcW w:type="dxa" w:w="1613"/>
            <w:vAlign w:val="center"/>
            <w:tcMar>
              <w:top w:w="72" w:type="dxa"/>
              <w:start w:w="82" w:type="dxa"/>
              <w:bottom w:w="72" w:type="dxa"/>
              <w:end w:w="82" w:type="dxa"/>
            </w:tcMar>
            <w:shd w:fill="F4F7F8"/>
          </w:tcPr>
          <w:p>
            <w:pPr>
              <w:spacing w:after="0"/>
            </w:pPr>
            <w:r>
              <w:rPr>
                <w:b/>
                <w:sz w:val="13"/>
              </w:rPr>
              <w:t>Loyola Marymount</w:t>
            </w:r>
          </w:p>
        </w:tc>
        <w:tc>
          <w:tcPr>
            <w:tcW w:type="dxa" w:w="2117"/>
            <w:vAlign w:val="center"/>
            <w:tcMar>
              <w:top w:w="72" w:type="dxa"/>
              <w:start w:w="82" w:type="dxa"/>
              <w:bottom w:w="72" w:type="dxa"/>
              <w:end w:w="82" w:type="dxa"/>
            </w:tcMar>
            <w:shd w:fill="F4F7F8"/>
          </w:tcPr>
          <w:p>
            <w:pPr>
              <w:spacing w:after="0"/>
            </w:pPr>
            <w:r>
              <w:rPr>
                <w:sz w:val="13"/>
              </w:rPr>
              <w:t>AI-free and AI-integrated paired assignments</w:t>
            </w:r>
          </w:p>
        </w:tc>
        <w:tc>
          <w:tcPr>
            <w:tcW w:type="dxa" w:w="2275"/>
            <w:vAlign w:val="center"/>
            <w:tcMar>
              <w:top w:w="72" w:type="dxa"/>
              <w:start w:w="82" w:type="dxa"/>
              <w:bottom w:w="72" w:type="dxa"/>
              <w:end w:w="82" w:type="dxa"/>
            </w:tcMar>
            <w:shd w:fill="F4F7F8"/>
          </w:tcPr>
          <w:p>
            <w:pPr>
              <w:spacing w:after="0"/>
            </w:pPr>
            <w:r>
              <w:rPr>
                <w:sz w:val="13"/>
              </w:rPr>
              <w:t>AI-free anchor plus supervised revision</w:t>
            </w:r>
          </w:p>
        </w:tc>
        <w:tc>
          <w:tcPr>
            <w:tcW w:type="dxa" w:w="2059"/>
            <w:vAlign w:val="center"/>
            <w:tcMar>
              <w:top w:w="72" w:type="dxa"/>
              <w:start w:w="82" w:type="dxa"/>
              <w:bottom w:w="72" w:type="dxa"/>
              <w:end w:w="82" w:type="dxa"/>
            </w:tcMar>
            <w:shd w:fill="F4F7F8"/>
          </w:tcPr>
          <w:p>
            <w:pPr>
              <w:spacing w:after="0"/>
            </w:pPr>
            <w:r>
              <w:rPr>
                <w:sz w:val="13"/>
              </w:rPr>
              <w:t>New source or ethical problem</w:t>
            </w:r>
          </w:p>
        </w:tc>
        <w:tc>
          <w:tcPr>
            <w:tcW w:type="dxa" w:w="2160"/>
            <w:vAlign w:val="center"/>
            <w:tcMar>
              <w:top w:w="72" w:type="dxa"/>
              <w:start w:w="82" w:type="dxa"/>
              <w:bottom w:w="72" w:type="dxa"/>
              <w:end w:w="82" w:type="dxa"/>
            </w:tcMar>
            <w:shd w:fill="F4F7F8"/>
          </w:tcPr>
          <w:p>
            <w:pPr>
              <w:spacing w:after="0"/>
            </w:pPr>
            <w:r>
              <w:rPr>
                <w:sz w:val="13"/>
              </w:rPr>
              <w:t>Reasonable alternatives, co-constructed rules, protected tools</w:t>
            </w:r>
          </w:p>
        </w:tc>
      </w:tr>
      <w:tr>
        <w:trPr>
          <w:cantSplit/>
        </w:trPr>
        <w:tc>
          <w:tcPr>
            <w:tcW w:type="dxa" w:w="1613"/>
            <w:vAlign w:val="center"/>
            <w:tcMar>
              <w:top w:w="72" w:type="dxa"/>
              <w:start w:w="82" w:type="dxa"/>
              <w:bottom w:w="72" w:type="dxa"/>
              <w:end w:w="82" w:type="dxa"/>
            </w:tcMar>
          </w:tcPr>
          <w:p>
            <w:pPr>
              <w:spacing w:after="0"/>
            </w:pPr>
            <w:r>
              <w:rPr>
                <w:b/>
                <w:sz w:val="13"/>
              </w:rPr>
              <w:t>Thomas Aquinas College</w:t>
            </w:r>
          </w:p>
        </w:tc>
        <w:tc>
          <w:tcPr>
            <w:tcW w:type="dxa" w:w="2117"/>
            <w:vAlign w:val="center"/>
            <w:tcMar>
              <w:top w:w="72" w:type="dxa"/>
              <w:start w:w="82" w:type="dxa"/>
              <w:bottom w:w="72" w:type="dxa"/>
              <w:end w:w="82" w:type="dxa"/>
            </w:tcMar>
          </w:tcPr>
          <w:p>
            <w:pPr>
              <w:spacing w:after="0"/>
            </w:pPr>
            <w:r>
              <w:rPr>
                <w:sz w:val="13"/>
              </w:rPr>
              <w:t>Composition and senior thesis</w:t>
            </w:r>
          </w:p>
        </w:tc>
        <w:tc>
          <w:tcPr>
            <w:tcW w:type="dxa" w:w="2275"/>
            <w:vAlign w:val="center"/>
            <w:tcMar>
              <w:top w:w="72" w:type="dxa"/>
              <w:start w:w="82" w:type="dxa"/>
              <w:bottom w:w="72" w:type="dxa"/>
              <w:end w:w="82" w:type="dxa"/>
            </w:tcMar>
          </w:tcPr>
          <w:p>
            <w:pPr>
              <w:spacing w:after="0"/>
            </w:pPr>
            <w:r>
              <w:rPr>
                <w:sz w:val="13"/>
              </w:rPr>
              <w:t>Existing seminar, demonstration, composition, and defense</w:t>
            </w:r>
          </w:p>
        </w:tc>
        <w:tc>
          <w:tcPr>
            <w:tcW w:type="dxa" w:w="2059"/>
            <w:vAlign w:val="center"/>
            <w:tcMar>
              <w:top w:w="72" w:type="dxa"/>
              <w:start w:w="82" w:type="dxa"/>
              <w:bottom w:w="72" w:type="dxa"/>
              <w:end w:w="82" w:type="dxa"/>
            </w:tcMar>
          </w:tcPr>
          <w:p>
            <w:pPr>
              <w:spacing w:after="0"/>
            </w:pPr>
            <w:r>
              <w:rPr>
                <w:sz w:val="13"/>
              </w:rPr>
              <w:t>New text, objection, or proof after delay</w:t>
            </w:r>
          </w:p>
        </w:tc>
        <w:tc>
          <w:tcPr>
            <w:tcW w:type="dxa" w:w="2160"/>
            <w:vAlign w:val="center"/>
            <w:tcMar>
              <w:top w:w="72" w:type="dxa"/>
              <w:start w:w="82" w:type="dxa"/>
              <w:bottom w:w="72" w:type="dxa"/>
              <w:end w:w="82" w:type="dxa"/>
            </w:tcMar>
          </w:tcPr>
          <w:p>
            <w:pPr>
              <w:spacing w:after="0"/>
            </w:pPr>
            <w:r>
              <w:rPr>
                <w:sz w:val="13"/>
              </w:rPr>
              <w:t>Rubrics, exceptions, accessibility, later responsible use</w:t>
            </w:r>
          </w:p>
        </w:tc>
      </w:tr>
      <w:tr>
        <w:trPr>
          <w:cantSplit/>
        </w:trPr>
        <w:tc>
          <w:tcPr>
            <w:tcW w:type="dxa" w:w="1613"/>
            <w:vAlign w:val="center"/>
            <w:tcMar>
              <w:top w:w="72" w:type="dxa"/>
              <w:start w:w="82" w:type="dxa"/>
              <w:bottom w:w="72" w:type="dxa"/>
              <w:end w:w="82" w:type="dxa"/>
            </w:tcMar>
            <w:shd w:fill="F4F7F8"/>
          </w:tcPr>
          <w:p>
            <w:pPr>
              <w:spacing w:after="0"/>
            </w:pPr>
            <w:r>
              <w:rPr>
                <w:b/>
                <w:sz w:val="13"/>
              </w:rPr>
              <w:t>Mother of Divine Grace</w:t>
            </w:r>
          </w:p>
        </w:tc>
        <w:tc>
          <w:tcPr>
            <w:tcW w:type="dxa" w:w="2117"/>
            <w:vAlign w:val="center"/>
            <w:tcMar>
              <w:top w:w="72" w:type="dxa"/>
              <w:start w:w="82" w:type="dxa"/>
              <w:bottom w:w="72" w:type="dxa"/>
              <w:end w:w="82" w:type="dxa"/>
            </w:tcMar>
            <w:shd w:fill="F4F7F8"/>
          </w:tcPr>
          <w:p>
            <w:pPr>
              <w:spacing w:after="0"/>
            </w:pPr>
            <w:r>
              <w:rPr>
                <w:sz w:val="13"/>
              </w:rPr>
              <w:t>Grades 6–9 logic and composition</w:t>
            </w:r>
          </w:p>
        </w:tc>
        <w:tc>
          <w:tcPr>
            <w:tcW w:type="dxa" w:w="2275"/>
            <w:vAlign w:val="center"/>
            <w:tcMar>
              <w:top w:w="72" w:type="dxa"/>
              <w:start w:w="82" w:type="dxa"/>
              <w:bottom w:w="72" w:type="dxa"/>
              <w:end w:w="82" w:type="dxa"/>
            </w:tcMar>
            <w:shd w:fill="F4F7F8"/>
          </w:tcPr>
          <w:p>
            <w:pPr>
              <w:spacing w:after="0"/>
            </w:pPr>
            <w:r>
              <w:rPr>
                <w:sz w:val="13"/>
              </w:rPr>
              <w:t>Narration, supervised writing, and parent or teacher dialogue</w:t>
            </w:r>
          </w:p>
        </w:tc>
        <w:tc>
          <w:tcPr>
            <w:tcW w:type="dxa" w:w="2059"/>
            <w:vAlign w:val="center"/>
            <w:tcMar>
              <w:top w:w="72" w:type="dxa"/>
              <w:start w:w="82" w:type="dxa"/>
              <w:bottom w:w="72" w:type="dxa"/>
              <w:end w:w="82" w:type="dxa"/>
            </w:tcMar>
            <w:shd w:fill="F4F7F8"/>
          </w:tcPr>
          <w:p>
            <w:pPr>
              <w:spacing w:after="0"/>
            </w:pPr>
            <w:r>
              <w:rPr>
                <w:sz w:val="13"/>
              </w:rPr>
              <w:t>New argument or text before any AI comparison</w:t>
            </w:r>
          </w:p>
        </w:tc>
        <w:tc>
          <w:tcPr>
            <w:tcW w:type="dxa" w:w="2160"/>
            <w:vAlign w:val="center"/>
            <w:tcMar>
              <w:top w:w="72" w:type="dxa"/>
              <w:start w:w="82" w:type="dxa"/>
              <w:bottom w:w="72" w:type="dxa"/>
              <w:end w:w="82" w:type="dxa"/>
            </w:tcMar>
            <w:shd w:fill="F4F7F8"/>
          </w:tcPr>
          <w:p>
            <w:pPr>
              <w:spacing w:after="0"/>
            </w:pPr>
            <w:r>
              <w:rPr>
                <w:sz w:val="13"/>
              </w:rPr>
              <w:t>Parent mediation, age rules, family burden, friendships</w:t>
            </w:r>
          </w:p>
        </w:tc>
      </w:tr>
      <w:tr>
        <w:trPr>
          <w:cantSplit/>
        </w:trPr>
        <w:tc>
          <w:tcPr>
            <w:tcW w:type="dxa" w:w="1613"/>
            <w:vAlign w:val="center"/>
            <w:tcMar>
              <w:top w:w="72" w:type="dxa"/>
              <w:start w:w="82" w:type="dxa"/>
              <w:bottom w:w="72" w:type="dxa"/>
              <w:end w:w="82" w:type="dxa"/>
            </w:tcMar>
          </w:tcPr>
          <w:p>
            <w:pPr>
              <w:spacing w:after="0"/>
            </w:pPr>
            <w:r>
              <w:rPr>
                <w:b/>
                <w:sz w:val="13"/>
              </w:rPr>
              <w:t>Harvard-Westlake</w:t>
            </w:r>
          </w:p>
        </w:tc>
        <w:tc>
          <w:tcPr>
            <w:tcW w:type="dxa" w:w="2117"/>
            <w:vAlign w:val="center"/>
            <w:tcMar>
              <w:top w:w="72" w:type="dxa"/>
              <w:start w:w="82" w:type="dxa"/>
              <w:bottom w:w="72" w:type="dxa"/>
              <w:end w:w="82" w:type="dxa"/>
            </w:tcMar>
          </w:tcPr>
          <w:p>
            <w:pPr>
              <w:spacing w:after="0"/>
            </w:pPr>
            <w:r>
              <w:rPr>
                <w:sz w:val="13"/>
              </w:rPr>
              <w:t>AI ethics, technology, and society course</w:t>
            </w:r>
          </w:p>
        </w:tc>
        <w:tc>
          <w:tcPr>
            <w:tcW w:type="dxa" w:w="2275"/>
            <w:vAlign w:val="center"/>
            <w:tcMar>
              <w:top w:w="72" w:type="dxa"/>
              <w:start w:w="82" w:type="dxa"/>
              <w:bottom w:w="72" w:type="dxa"/>
              <w:end w:w="82" w:type="dxa"/>
            </w:tcMar>
          </w:tcPr>
          <w:p>
            <w:pPr>
              <w:spacing w:after="0"/>
            </w:pPr>
            <w:r>
              <w:rPr>
                <w:sz w:val="13"/>
              </w:rPr>
              <w:t>Human-authored essay segment and oral objection</w:t>
            </w:r>
          </w:p>
        </w:tc>
        <w:tc>
          <w:tcPr>
            <w:tcW w:type="dxa" w:w="2059"/>
            <w:vAlign w:val="center"/>
            <w:tcMar>
              <w:top w:w="72" w:type="dxa"/>
              <w:start w:w="82" w:type="dxa"/>
              <w:bottom w:w="72" w:type="dxa"/>
              <w:end w:w="82" w:type="dxa"/>
            </w:tcMar>
          </w:tcPr>
          <w:p>
            <w:pPr>
              <w:spacing w:after="0"/>
            </w:pPr>
            <w:r>
              <w:rPr>
                <w:sz w:val="13"/>
              </w:rPr>
              <w:t>New source-evaluation and ethical scenario</w:t>
            </w:r>
          </w:p>
        </w:tc>
        <w:tc>
          <w:tcPr>
            <w:tcW w:type="dxa" w:w="2160"/>
            <w:vAlign w:val="center"/>
            <w:tcMar>
              <w:top w:w="72" w:type="dxa"/>
              <w:start w:w="82" w:type="dxa"/>
              <w:bottom w:w="72" w:type="dxa"/>
              <w:end w:w="82" w:type="dxa"/>
            </w:tcMar>
          </w:tcPr>
          <w:p>
            <w:pPr>
              <w:spacing w:after="0"/>
            </w:pPr>
            <w:r>
              <w:rPr>
                <w:sz w:val="13"/>
              </w:rPr>
              <w:t>Course rule, division rules, consent, privacy, grade differences</w:t>
            </w:r>
          </w:p>
        </w:tc>
      </w:tr>
      <w:tr>
        <w:trPr>
          <w:cantSplit/>
        </w:trPr>
        <w:tc>
          <w:tcPr>
            <w:tcW w:type="dxa" w:w="1613"/>
            <w:vAlign w:val="center"/>
            <w:tcMar>
              <w:top w:w="72" w:type="dxa"/>
              <w:start w:w="82" w:type="dxa"/>
              <w:bottom w:w="72" w:type="dxa"/>
              <w:end w:w="82" w:type="dxa"/>
            </w:tcMar>
            <w:shd w:fill="F4F7F8"/>
          </w:tcPr>
          <w:p>
            <w:pPr>
              <w:spacing w:after="0"/>
            </w:pPr>
            <w:r>
              <w:rPr>
                <w:b/>
                <w:sz w:val="13"/>
              </w:rPr>
              <w:t>High Tech High</w:t>
            </w:r>
          </w:p>
        </w:tc>
        <w:tc>
          <w:tcPr>
            <w:tcW w:type="dxa" w:w="2117"/>
            <w:vAlign w:val="center"/>
            <w:tcMar>
              <w:top w:w="72" w:type="dxa"/>
              <w:start w:w="82" w:type="dxa"/>
              <w:bottom w:w="72" w:type="dxa"/>
              <w:end w:w="82" w:type="dxa"/>
            </w:tcMar>
            <w:shd w:fill="F4F7F8"/>
          </w:tcPr>
          <w:p>
            <w:pPr>
              <w:spacing w:after="0"/>
            </w:pPr>
            <w:r>
              <w:rPr>
                <w:sz w:val="13"/>
              </w:rPr>
              <w:t>Exhibition-based project plus elementary comparison</w:t>
            </w:r>
          </w:p>
        </w:tc>
        <w:tc>
          <w:tcPr>
            <w:tcW w:type="dxa" w:w="2275"/>
            <w:vAlign w:val="center"/>
            <w:tcMar>
              <w:top w:w="72" w:type="dxa"/>
              <w:start w:w="82" w:type="dxa"/>
              <w:bottom w:w="72" w:type="dxa"/>
              <w:end w:w="82" w:type="dxa"/>
            </w:tcMar>
            <w:shd w:fill="F4F7F8"/>
          </w:tcPr>
          <w:p>
            <w:pPr>
              <w:spacing w:after="0"/>
            </w:pPr>
            <w:r>
              <w:rPr>
                <w:sz w:val="13"/>
              </w:rPr>
              <w:t>Individual process conference or construction task</w:t>
            </w:r>
          </w:p>
        </w:tc>
        <w:tc>
          <w:tcPr>
            <w:tcW w:type="dxa" w:w="2059"/>
            <w:vAlign w:val="center"/>
            <w:tcMar>
              <w:top w:w="72" w:type="dxa"/>
              <w:start w:w="82" w:type="dxa"/>
              <w:bottom w:w="72" w:type="dxa"/>
              <w:end w:w="82" w:type="dxa"/>
            </w:tcMar>
            <w:shd w:fill="F4F7F8"/>
          </w:tcPr>
          <w:p>
            <w:pPr>
              <w:spacing w:after="0"/>
            </w:pPr>
            <w:r>
              <w:rPr>
                <w:sz w:val="13"/>
              </w:rPr>
              <w:t>New design problem without AI</w:t>
            </w:r>
          </w:p>
        </w:tc>
        <w:tc>
          <w:tcPr>
            <w:tcW w:type="dxa" w:w="2160"/>
            <w:vAlign w:val="center"/>
            <w:tcMar>
              <w:top w:w="72" w:type="dxa"/>
              <w:start w:w="82" w:type="dxa"/>
              <w:bottom w:w="72" w:type="dxa"/>
              <w:end w:w="82" w:type="dxa"/>
            </w:tcMar>
            <w:shd w:fill="F4F7F8"/>
          </w:tcPr>
          <w:p>
            <w:pPr>
              <w:spacing w:after="0"/>
            </w:pPr>
            <w:r>
              <w:rPr>
                <w:sz w:val="13"/>
              </w:rPr>
              <w:t>Full policy, individual mastery, group authorship, school variation</w:t>
            </w:r>
          </w:p>
        </w:tc>
      </w:tr>
    </w:tbl>
    <w:p>
      <w:pPr>
        <w:pStyle w:val="Heading1"/>
      </w:pPr>
      <w:r>
        <w:t>Minimum evidence package for each case</w:t>
      </w:r>
    </w:p>
    <w:p>
      <w:pPr>
        <w:pStyle w:val="ListBullet"/>
      </w:pPr>
      <w:r>
        <w:t>Current rule, authority, effective date, approved tool, privacy review, disclosure standard, accessibility, and non-AI alternative.</w:t>
      </w:r>
    </w:p>
    <w:p>
      <w:pPr>
        <w:pStyle w:val="ListBullet"/>
      </w:pPr>
      <w:r>
        <w:t>Learning objective, prompt, readings or data, AI condition, human support, drafts, outputs, final work, rubric, and evaluator record.</w:t>
      </w:r>
    </w:p>
    <w:p>
      <w:pPr>
        <w:pStyle w:val="ListBullet"/>
      </w:pPr>
      <w:r>
        <w:t>C0 through C4 results by separate dimension, with de-identified condition and subgroup information where justified.</w:t>
      </w:r>
    </w:p>
    <w:p>
      <w:pPr>
        <w:pStyle w:val="ListBullet"/>
      </w:pPr>
      <w:r>
        <w:t>Implementation deviations, attrition, student and educator experience, wellness context, and stated limitations.</w:t>
      </w:r>
    </w:p>
    <w:p>
      <w:pPr>
        <w:pStyle w:val="ListBullet"/>
      </w:pPr>
      <w:r>
        <w:t>Scorecard update identifying which Phase Nine claims move from missing or restricted to partial, verified, PH-3, or PH-4.</w:t>
      </w:r>
    </w:p>
    <w:p>
      <w:r>
        <w:br w:type="page"/>
      </w:r>
    </w:p>
    <w:p>
      <w:pPr>
        <w:pStyle w:val="Heading1"/>
      </w:pPr>
      <w:r>
        <w:t>Field recording form</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2" w:type="dxa"/>
              <w:bottom w:w="72" w:type="dxa"/>
              <w:end w:w="82" w:type="dxa"/>
            </w:tcMar>
          </w:tcPr>
          <w:p>
            <w:pPr>
              <w:spacing w:after="0"/>
            </w:pPr>
            <w:r>
              <w:rPr>
                <w:b/>
                <w:color w:val="FFFFFF"/>
                <w:sz w:val="16"/>
              </w:rPr>
              <w:t>Record</w:t>
            </w:r>
          </w:p>
        </w:tc>
        <w:tc>
          <w:tcPr>
            <w:tcW w:type="dxa" w:w="6984"/>
            <w:vAlign w:val="center"/>
            <w:shd w:fill="193F58"/>
            <w:tcMar>
              <w:top w:w="72" w:type="dxa"/>
              <w:start w:w="82" w:type="dxa"/>
              <w:bottom w:w="72" w:type="dxa"/>
              <w:end w:w="82" w:type="dxa"/>
            </w:tcMar>
          </w:tcPr>
          <w:p>
            <w:pPr>
              <w:spacing w:after="0"/>
            </w:pPr>
            <w:r>
              <w:rPr>
                <w:b/>
                <w:color w:val="FFFFFF"/>
                <w:sz w:val="16"/>
              </w:rPr>
              <w:t>Entry</w:t>
            </w:r>
          </w:p>
        </w:tc>
      </w:tr>
      <w:tr>
        <w:trPr>
          <w:cantSplit/>
        </w:trPr>
        <w:tc>
          <w:tcPr>
            <w:tcW w:type="dxa" w:w="3240"/>
            <w:vAlign w:val="center"/>
            <w:tcMar>
              <w:top w:w="72" w:type="dxa"/>
              <w:start w:w="82" w:type="dxa"/>
              <w:bottom w:w="72" w:type="dxa"/>
              <w:end w:w="82" w:type="dxa"/>
            </w:tcMar>
          </w:tcPr>
          <w:p>
            <w:pPr>
              <w:spacing w:after="0"/>
            </w:pPr>
            <w:r>
              <w:rPr>
                <w:b/>
                <w:sz w:val="16"/>
              </w:rPr>
              <w:t>Institution / course / grade</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Capacity being formed</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6"/>
              </w:rPr>
              <w:t>AI condition and exact tool</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Protected human act</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6"/>
              </w:rPr>
              <w:t>C0 baseline task and score</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C1 practice and assistance</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6"/>
              </w:rPr>
              <w:t>C2 immediate task and score</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C3 retention task, date, score</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6"/>
              </w:rPr>
              <w:t>C4 transfer task, date, score</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Human support and accommodations</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6"/>
              </w:rPr>
              <w:t>Context and wellness notes</w:t>
            </w:r>
          </w:p>
        </w:tc>
        <w:tc>
          <w:tcPr>
            <w:tcW w:type="dxa" w:w="6984"/>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6"/>
              </w:rPr>
              <w:t>Deviations and missing evidence</w:t>
            </w:r>
          </w:p>
        </w:tc>
        <w:tc>
          <w:tcPr>
            <w:tcW w:type="dxa" w:w="6984"/>
            <w:vAlign w:val="center"/>
            <w:tcMar>
              <w:top w:w="72" w:type="dxa"/>
              <w:start w:w="82" w:type="dxa"/>
              <w:bottom w:w="72" w:type="dxa"/>
              <w:end w:w="82" w:type="dxa"/>
            </w:tcMar>
            <w:shd w:fill="F4F7F8"/>
          </w:tcPr>
          <w:p>
            <w:pPr>
              <w:spacing w:after="0"/>
            </w:pPr>
            <w:r>
              <w:rPr>
                <w:sz w:val="16"/>
              </w:rPr>
              <w:t>____________________________________________________________</w:t>
            </w:r>
          </w:p>
        </w:tc>
      </w:tr>
    </w:tbl>
    <w:p>
      <w:pPr>
        <w:pStyle w:val="Heading1"/>
      </w:pPr>
      <w:r>
        <w:t>Dimension record</w:t>
      </w:r>
    </w:p>
    <w:tbl>
      <w:tblPr>
        <w:tblStyle w:val="TableGrid"/>
        <w:tblW w:type="auto" w:w="0"/>
        <w:jc w:val="center"/>
        <w:tblLayout w:type="fixed"/>
        <w:tblLook w:firstColumn="1" w:firstRow="1" w:lastColumn="0" w:lastRow="0" w:noHBand="0" w:noVBand="1" w:val="04A0"/>
      </w:tblPr>
      <w:tblGrid>
        <w:gridCol w:w="1723"/>
        <w:gridCol w:w="1723"/>
        <w:gridCol w:w="1723"/>
        <w:gridCol w:w="1723"/>
        <w:gridCol w:w="1723"/>
        <w:gridCol w:w="1723"/>
      </w:tblGrid>
      <w:tr>
        <w:trPr>
          <w:tblHeader w:val="true"/>
          <w:cantSplit/>
        </w:trPr>
        <w:tc>
          <w:tcPr>
            <w:tcW w:type="dxa" w:w="1800"/>
            <w:vAlign w:val="center"/>
            <w:shd w:fill="193F58"/>
            <w:tcMar>
              <w:top w:w="72" w:type="dxa"/>
              <w:start w:w="82" w:type="dxa"/>
              <w:bottom w:w="72" w:type="dxa"/>
              <w:end w:w="82" w:type="dxa"/>
            </w:tcMar>
          </w:tcPr>
          <w:p>
            <w:pPr>
              <w:spacing w:after="0"/>
            </w:pPr>
            <w:r>
              <w:rPr>
                <w:b/>
                <w:color w:val="FFFFFF"/>
                <w:sz w:val="16"/>
              </w:rPr>
              <w:t>Dimension</w:t>
            </w:r>
          </w:p>
        </w:tc>
        <w:tc>
          <w:tcPr>
            <w:tcW w:type="dxa" w:w="792"/>
            <w:vAlign w:val="center"/>
            <w:shd w:fill="193F58"/>
            <w:tcMar>
              <w:top w:w="72" w:type="dxa"/>
              <w:start w:w="82" w:type="dxa"/>
              <w:bottom w:w="72" w:type="dxa"/>
              <w:end w:w="82" w:type="dxa"/>
            </w:tcMar>
          </w:tcPr>
          <w:p>
            <w:pPr>
              <w:spacing w:after="0"/>
            </w:pPr>
            <w:r>
              <w:rPr>
                <w:b/>
                <w:color w:val="FFFFFF"/>
                <w:sz w:val="16"/>
              </w:rPr>
              <w:t>C0</w:t>
            </w:r>
          </w:p>
        </w:tc>
        <w:tc>
          <w:tcPr>
            <w:tcW w:type="dxa" w:w="792"/>
            <w:vAlign w:val="center"/>
            <w:shd w:fill="193F58"/>
            <w:tcMar>
              <w:top w:w="72" w:type="dxa"/>
              <w:start w:w="82" w:type="dxa"/>
              <w:bottom w:w="72" w:type="dxa"/>
              <w:end w:w="82" w:type="dxa"/>
            </w:tcMar>
          </w:tcPr>
          <w:p>
            <w:pPr>
              <w:spacing w:after="0"/>
            </w:pPr>
            <w:r>
              <w:rPr>
                <w:b/>
                <w:color w:val="FFFFFF"/>
                <w:sz w:val="16"/>
              </w:rPr>
              <w:t>C2</w:t>
            </w:r>
          </w:p>
        </w:tc>
        <w:tc>
          <w:tcPr>
            <w:tcW w:type="dxa" w:w="792"/>
            <w:vAlign w:val="center"/>
            <w:shd w:fill="193F58"/>
            <w:tcMar>
              <w:top w:w="72" w:type="dxa"/>
              <w:start w:w="82" w:type="dxa"/>
              <w:bottom w:w="72" w:type="dxa"/>
              <w:end w:w="82" w:type="dxa"/>
            </w:tcMar>
          </w:tcPr>
          <w:p>
            <w:pPr>
              <w:spacing w:after="0"/>
            </w:pPr>
            <w:r>
              <w:rPr>
                <w:b/>
                <w:color w:val="FFFFFF"/>
                <w:sz w:val="16"/>
              </w:rPr>
              <w:t>C3</w:t>
            </w:r>
          </w:p>
        </w:tc>
        <w:tc>
          <w:tcPr>
            <w:tcW w:type="dxa" w:w="792"/>
            <w:vAlign w:val="center"/>
            <w:shd w:fill="193F58"/>
            <w:tcMar>
              <w:top w:w="72" w:type="dxa"/>
              <w:start w:w="82" w:type="dxa"/>
              <w:bottom w:w="72" w:type="dxa"/>
              <w:end w:w="82" w:type="dxa"/>
            </w:tcMar>
          </w:tcPr>
          <w:p>
            <w:pPr>
              <w:spacing w:after="0"/>
            </w:pPr>
            <w:r>
              <w:rPr>
                <w:b/>
                <w:color w:val="FFFFFF"/>
                <w:sz w:val="16"/>
              </w:rPr>
              <w:t>C4</w:t>
            </w:r>
          </w:p>
        </w:tc>
        <w:tc>
          <w:tcPr>
            <w:tcW w:type="dxa" w:w="5256"/>
            <w:vAlign w:val="center"/>
            <w:shd w:fill="193F58"/>
            <w:tcMar>
              <w:top w:w="72" w:type="dxa"/>
              <w:start w:w="82" w:type="dxa"/>
              <w:bottom w:w="72" w:type="dxa"/>
              <w:end w:w="82" w:type="dxa"/>
            </w:tcMar>
          </w:tcPr>
          <w:p>
            <w:pPr>
              <w:spacing w:after="0"/>
            </w:pPr>
            <w:r>
              <w:rPr>
                <w:b/>
                <w:color w:val="FFFFFF"/>
                <w:sz w:val="16"/>
              </w:rPr>
              <w:t>Evidence note</w:t>
            </w:r>
          </w:p>
        </w:tc>
      </w:tr>
      <w:tr>
        <w:trPr>
          <w:cantSplit/>
        </w:trPr>
        <w:tc>
          <w:tcPr>
            <w:tcW w:type="dxa" w:w="1800"/>
            <w:vAlign w:val="center"/>
            <w:tcMar>
              <w:top w:w="72" w:type="dxa"/>
              <w:start w:w="82" w:type="dxa"/>
              <w:bottom w:w="72" w:type="dxa"/>
              <w:end w:w="82" w:type="dxa"/>
            </w:tcMar>
          </w:tcPr>
          <w:p>
            <w:pPr>
              <w:spacing w:after="0"/>
            </w:pPr>
            <w:r>
              <w:rPr>
                <w:b/>
                <w:sz w:val="16"/>
              </w:rPr>
              <w:t>Knowledge</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5256"/>
            <w:vAlign w:val="center"/>
            <w:tcMar>
              <w:top w:w="72" w:type="dxa"/>
              <w:start w:w="82" w:type="dxa"/>
              <w:bottom w:w="72" w:type="dxa"/>
              <w:end w:w="82" w:type="dxa"/>
            </w:tcMar>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shd w:fill="F4F7F8"/>
          </w:tcPr>
          <w:p>
            <w:pPr>
              <w:spacing w:after="0"/>
            </w:pPr>
            <w:r>
              <w:rPr>
                <w:b/>
                <w:sz w:val="16"/>
              </w:rPr>
              <w:t>Reasoning</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5256"/>
            <w:vAlign w:val="center"/>
            <w:tcMar>
              <w:top w:w="72" w:type="dxa"/>
              <w:start w:w="82" w:type="dxa"/>
              <w:bottom w:w="72" w:type="dxa"/>
              <w:end w:w="82" w:type="dxa"/>
            </w:tcMar>
            <w:shd w:fill="F4F7F8"/>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tcPr>
          <w:p>
            <w:pPr>
              <w:spacing w:after="0"/>
            </w:pPr>
            <w:r>
              <w:rPr>
                <w:b/>
                <w:sz w:val="16"/>
              </w:rPr>
              <w:t>Verification</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5256"/>
            <w:vAlign w:val="center"/>
            <w:tcMar>
              <w:top w:w="72" w:type="dxa"/>
              <w:start w:w="82" w:type="dxa"/>
              <w:bottom w:w="72" w:type="dxa"/>
              <w:end w:w="82" w:type="dxa"/>
            </w:tcMar>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shd w:fill="F4F7F8"/>
          </w:tcPr>
          <w:p>
            <w:pPr>
              <w:spacing w:after="0"/>
            </w:pPr>
            <w:r>
              <w:rPr>
                <w:b/>
                <w:sz w:val="16"/>
              </w:rPr>
              <w:t>Authorship</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5256"/>
            <w:vAlign w:val="center"/>
            <w:tcMar>
              <w:top w:w="72" w:type="dxa"/>
              <w:start w:w="82" w:type="dxa"/>
              <w:bottom w:w="72" w:type="dxa"/>
              <w:end w:w="82" w:type="dxa"/>
            </w:tcMar>
            <w:shd w:fill="F4F7F8"/>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tcPr>
          <w:p>
            <w:pPr>
              <w:spacing w:after="0"/>
            </w:pPr>
            <w:r>
              <w:rPr>
                <w:b/>
                <w:sz w:val="16"/>
              </w:rPr>
              <w:t>Transfer</w:t>
            </w:r>
          </w:p>
        </w:tc>
        <w:tc>
          <w:tcPr>
            <w:tcW w:type="dxa" w:w="792"/>
            <w:vAlign w:val="center"/>
            <w:tcMar>
              <w:top w:w="72" w:type="dxa"/>
              <w:start w:w="82" w:type="dxa"/>
              <w:bottom w:w="72" w:type="dxa"/>
              <w:end w:w="82" w:type="dxa"/>
            </w:tcMar>
          </w:tcPr>
          <w:p>
            <w:pPr>
              <w:spacing w:after="0"/>
            </w:pPr>
            <w:r>
              <w:rPr>
                <w:sz w:val="16"/>
              </w:rPr>
              <w:t>—</w:t>
            </w:r>
          </w:p>
        </w:tc>
        <w:tc>
          <w:tcPr>
            <w:tcW w:type="dxa" w:w="792"/>
            <w:vAlign w:val="center"/>
            <w:tcMar>
              <w:top w:w="72" w:type="dxa"/>
              <w:start w:w="82" w:type="dxa"/>
              <w:bottom w:w="72" w:type="dxa"/>
              <w:end w:w="82" w:type="dxa"/>
            </w:tcMar>
          </w:tcPr>
          <w:p>
            <w:pPr>
              <w:spacing w:after="0"/>
            </w:pPr>
            <w:r>
              <w:rPr>
                <w:sz w:val="16"/>
              </w:rPr>
              <w:t>—</w:t>
            </w:r>
          </w:p>
        </w:tc>
        <w:tc>
          <w:tcPr>
            <w:tcW w:type="dxa" w:w="792"/>
            <w:vAlign w:val="center"/>
            <w:tcMar>
              <w:top w:w="72" w:type="dxa"/>
              <w:start w:w="82" w:type="dxa"/>
              <w:bottom w:w="72" w:type="dxa"/>
              <w:end w:w="82" w:type="dxa"/>
            </w:tcMar>
          </w:tcPr>
          <w:p>
            <w:pPr>
              <w:spacing w:after="0"/>
            </w:pPr>
            <w:r>
              <w:rPr>
                <w:sz w:val="16"/>
              </w:rPr>
              <w:t>—</w:t>
            </w:r>
          </w:p>
        </w:tc>
        <w:tc>
          <w:tcPr>
            <w:tcW w:type="dxa" w:w="792"/>
            <w:vAlign w:val="center"/>
            <w:tcMar>
              <w:top w:w="72" w:type="dxa"/>
              <w:start w:w="82" w:type="dxa"/>
              <w:bottom w:w="72" w:type="dxa"/>
              <w:end w:w="82" w:type="dxa"/>
            </w:tcMar>
          </w:tcPr>
          <w:p>
            <w:pPr>
              <w:spacing w:after="0"/>
            </w:pPr>
            <w:r>
              <w:rPr>
                <w:sz w:val="16"/>
              </w:rPr>
              <w:t>__</w:t>
            </w:r>
          </w:p>
        </w:tc>
        <w:tc>
          <w:tcPr>
            <w:tcW w:type="dxa" w:w="5256"/>
            <w:vAlign w:val="center"/>
            <w:tcMar>
              <w:top w:w="72" w:type="dxa"/>
              <w:start w:w="82" w:type="dxa"/>
              <w:bottom w:w="72" w:type="dxa"/>
              <w:end w:w="82" w:type="dxa"/>
            </w:tcMar>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shd w:fill="F4F7F8"/>
          </w:tcPr>
          <w:p>
            <w:pPr>
              <w:spacing w:after="0"/>
            </w:pPr>
            <w:r>
              <w:rPr>
                <w:b/>
                <w:sz w:val="16"/>
              </w:rPr>
              <w:t>Self-regulation</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792"/>
            <w:vAlign w:val="center"/>
            <w:tcMar>
              <w:top w:w="72" w:type="dxa"/>
              <w:start w:w="82" w:type="dxa"/>
              <w:bottom w:w="72" w:type="dxa"/>
              <w:end w:w="82" w:type="dxa"/>
            </w:tcMar>
            <w:shd w:fill="F4F7F8"/>
          </w:tcPr>
          <w:p>
            <w:pPr>
              <w:spacing w:after="0"/>
            </w:pPr>
            <w:r>
              <w:rPr>
                <w:sz w:val="16"/>
              </w:rPr>
              <w:t>__</w:t>
            </w:r>
          </w:p>
        </w:tc>
        <w:tc>
          <w:tcPr>
            <w:tcW w:type="dxa" w:w="5256"/>
            <w:vAlign w:val="center"/>
            <w:tcMar>
              <w:top w:w="72" w:type="dxa"/>
              <w:start w:w="82" w:type="dxa"/>
              <w:bottom w:w="72" w:type="dxa"/>
              <w:end w:w="82" w:type="dxa"/>
            </w:tcMar>
            <w:shd w:fill="F4F7F8"/>
          </w:tcPr>
          <w:p>
            <w:pPr>
              <w:spacing w:after="0"/>
            </w:pPr>
            <w:r>
              <w:rPr>
                <w:sz w:val="16"/>
              </w:rPr>
              <w:t>____________________________</w:t>
            </w:r>
          </w:p>
        </w:tc>
      </w:tr>
      <w:tr>
        <w:trPr>
          <w:cantSplit/>
        </w:trPr>
        <w:tc>
          <w:tcPr>
            <w:tcW w:type="dxa" w:w="1800"/>
            <w:vAlign w:val="center"/>
            <w:tcMar>
              <w:top w:w="72" w:type="dxa"/>
              <w:start w:w="82" w:type="dxa"/>
              <w:bottom w:w="72" w:type="dxa"/>
              <w:end w:w="82" w:type="dxa"/>
            </w:tcMar>
          </w:tcPr>
          <w:p>
            <w:pPr>
              <w:spacing w:after="0"/>
            </w:pPr>
            <w:r>
              <w:rPr>
                <w:b/>
                <w:sz w:val="16"/>
              </w:rPr>
              <w:t>Communication</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792"/>
            <w:vAlign w:val="center"/>
            <w:tcMar>
              <w:top w:w="72" w:type="dxa"/>
              <w:start w:w="82" w:type="dxa"/>
              <w:bottom w:w="72" w:type="dxa"/>
              <w:end w:w="82" w:type="dxa"/>
            </w:tcMar>
          </w:tcPr>
          <w:p>
            <w:pPr>
              <w:spacing w:after="0"/>
            </w:pPr>
            <w:r>
              <w:rPr>
                <w:sz w:val="16"/>
              </w:rPr>
              <w:t>__</w:t>
            </w:r>
          </w:p>
        </w:tc>
        <w:tc>
          <w:tcPr>
            <w:tcW w:type="dxa" w:w="5256"/>
            <w:vAlign w:val="center"/>
            <w:tcMar>
              <w:top w:w="72" w:type="dxa"/>
              <w:start w:w="82" w:type="dxa"/>
              <w:bottom w:w="72" w:type="dxa"/>
              <w:end w:w="82" w:type="dxa"/>
            </w:tcMar>
          </w:tcPr>
          <w:p>
            <w:pPr>
              <w:spacing w:after="0"/>
            </w:pPr>
            <w:r>
              <w:rPr>
                <w:sz w:val="16"/>
              </w:rPr>
              <w:t>____________________________</w:t>
            </w:r>
          </w:p>
        </w:tc>
      </w:tr>
    </w:tbl>
    <w:p>
      <w:r>
        <w:br w:type="page"/>
      </w:r>
    </w:p>
    <w:p>
      <w:pPr>
        <w:pStyle w:val="Heading1"/>
      </w:pPr>
      <w:r>
        <w:t>Evidence judgment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4968"/>
            <w:vAlign w:val="center"/>
            <w:shd w:fill="193F58"/>
            <w:tcMar>
              <w:top w:w="72" w:type="dxa"/>
              <w:start w:w="82" w:type="dxa"/>
              <w:bottom w:w="72" w:type="dxa"/>
              <w:end w:w="82" w:type="dxa"/>
            </w:tcMar>
          </w:tcPr>
          <w:p>
            <w:pPr>
              <w:spacing w:after="0"/>
            </w:pPr>
            <w:r>
              <w:rPr>
                <w:b/>
                <w:color w:val="FFFFFF"/>
                <w:sz w:val="16"/>
              </w:rPr>
              <w:t>Question</w:t>
            </w:r>
          </w:p>
        </w:tc>
        <w:tc>
          <w:tcPr>
            <w:tcW w:type="dxa" w:w="5256"/>
            <w:vAlign w:val="center"/>
            <w:shd w:fill="193F58"/>
            <w:tcMar>
              <w:top w:w="72" w:type="dxa"/>
              <w:start w:w="82" w:type="dxa"/>
              <w:bottom w:w="72" w:type="dxa"/>
              <w:end w:w="82" w:type="dxa"/>
            </w:tcMar>
          </w:tcPr>
          <w:p>
            <w:pPr>
              <w:spacing w:after="0"/>
            </w:pPr>
            <w:r>
              <w:rPr>
                <w:b/>
                <w:color w:val="FFFFFF"/>
                <w:sz w:val="16"/>
              </w:rPr>
              <w:t>Judgment</w:t>
            </w:r>
          </w:p>
        </w:tc>
      </w:tr>
      <w:tr>
        <w:trPr>
          <w:cantSplit/>
        </w:trPr>
        <w:tc>
          <w:tcPr>
            <w:tcW w:type="dxa" w:w="4968"/>
            <w:vAlign w:val="center"/>
            <w:tcMar>
              <w:top w:w="72" w:type="dxa"/>
              <w:start w:w="82" w:type="dxa"/>
              <w:bottom w:w="72" w:type="dxa"/>
              <w:end w:w="82" w:type="dxa"/>
            </w:tcMar>
          </w:tcPr>
          <w:p>
            <w:pPr>
              <w:spacing w:after="0"/>
            </w:pPr>
            <w:r>
              <w:rPr>
                <w:b/>
                <w:sz w:val="16"/>
              </w:rPr>
              <w:t>Did assisted performance improve?</w:t>
            </w:r>
          </w:p>
        </w:tc>
        <w:tc>
          <w:tcPr>
            <w:tcW w:type="dxa" w:w="5256"/>
            <w:vAlign w:val="center"/>
            <w:tcMar>
              <w:top w:w="72" w:type="dxa"/>
              <w:start w:w="82" w:type="dxa"/>
              <w:bottom w:w="72" w:type="dxa"/>
              <w:end w:w="82" w:type="dxa"/>
            </w:tcMar>
          </w:tcPr>
          <w:p>
            <w:pPr>
              <w:spacing w:after="0"/>
            </w:pPr>
            <w:r>
              <w:rPr>
                <w:sz w:val="16"/>
              </w:rPr>
              <w:t>Yes / No / Mixed / Insufficient</w:t>
            </w:r>
          </w:p>
        </w:tc>
      </w:tr>
      <w:tr>
        <w:trPr>
          <w:cantSplit/>
        </w:trPr>
        <w:tc>
          <w:tcPr>
            <w:tcW w:type="dxa" w:w="4968"/>
            <w:vAlign w:val="center"/>
            <w:tcMar>
              <w:top w:w="72" w:type="dxa"/>
              <w:start w:w="82" w:type="dxa"/>
              <w:bottom w:w="72" w:type="dxa"/>
              <w:end w:w="82" w:type="dxa"/>
            </w:tcMar>
            <w:shd w:fill="F4F7F8"/>
          </w:tcPr>
          <w:p>
            <w:pPr>
              <w:spacing w:after="0"/>
            </w:pPr>
            <w:r>
              <w:rPr>
                <w:b/>
                <w:sz w:val="16"/>
              </w:rPr>
              <w:t>Did immediate unaided performance improve?</w:t>
            </w:r>
          </w:p>
        </w:tc>
        <w:tc>
          <w:tcPr>
            <w:tcW w:type="dxa" w:w="5256"/>
            <w:vAlign w:val="center"/>
            <w:tcMar>
              <w:top w:w="72" w:type="dxa"/>
              <w:start w:w="82" w:type="dxa"/>
              <w:bottom w:w="72" w:type="dxa"/>
              <w:end w:w="82" w:type="dxa"/>
            </w:tcMar>
            <w:shd w:fill="F4F7F8"/>
          </w:tcPr>
          <w:p>
            <w:pPr>
              <w:spacing w:after="0"/>
            </w:pPr>
            <w:r>
              <w:rPr>
                <w:sz w:val="16"/>
              </w:rPr>
              <w:t>Yes / No / Mixed / Insufficient</w:t>
            </w:r>
          </w:p>
        </w:tc>
      </w:tr>
      <w:tr>
        <w:trPr>
          <w:cantSplit/>
        </w:trPr>
        <w:tc>
          <w:tcPr>
            <w:tcW w:type="dxa" w:w="4968"/>
            <w:vAlign w:val="center"/>
            <w:tcMar>
              <w:top w:w="72" w:type="dxa"/>
              <w:start w:w="82" w:type="dxa"/>
              <w:bottom w:w="72" w:type="dxa"/>
              <w:end w:w="82" w:type="dxa"/>
            </w:tcMar>
          </w:tcPr>
          <w:p>
            <w:pPr>
              <w:spacing w:after="0"/>
            </w:pPr>
            <w:r>
              <w:rPr>
                <w:b/>
                <w:sz w:val="16"/>
              </w:rPr>
              <w:t>Was learning retained?</w:t>
            </w:r>
          </w:p>
        </w:tc>
        <w:tc>
          <w:tcPr>
            <w:tcW w:type="dxa" w:w="5256"/>
            <w:vAlign w:val="center"/>
            <w:tcMar>
              <w:top w:w="72" w:type="dxa"/>
              <w:start w:w="82" w:type="dxa"/>
              <w:bottom w:w="72" w:type="dxa"/>
              <w:end w:w="82" w:type="dxa"/>
            </w:tcMar>
          </w:tcPr>
          <w:p>
            <w:pPr>
              <w:spacing w:after="0"/>
            </w:pPr>
            <w:r>
              <w:rPr>
                <w:sz w:val="16"/>
              </w:rPr>
              <w:t>Yes / No / Mixed / Insufficient</w:t>
            </w:r>
          </w:p>
        </w:tc>
      </w:tr>
      <w:tr>
        <w:trPr>
          <w:cantSplit/>
        </w:trPr>
        <w:tc>
          <w:tcPr>
            <w:tcW w:type="dxa" w:w="4968"/>
            <w:vAlign w:val="center"/>
            <w:tcMar>
              <w:top w:w="72" w:type="dxa"/>
              <w:start w:w="82" w:type="dxa"/>
              <w:bottom w:w="72" w:type="dxa"/>
              <w:end w:w="82" w:type="dxa"/>
            </w:tcMar>
            <w:shd w:fill="F4F7F8"/>
          </w:tcPr>
          <w:p>
            <w:pPr>
              <w:spacing w:after="0"/>
            </w:pPr>
            <w:r>
              <w:rPr>
                <w:b/>
                <w:sz w:val="16"/>
              </w:rPr>
              <w:t>Did learning transfer?</w:t>
            </w:r>
          </w:p>
        </w:tc>
        <w:tc>
          <w:tcPr>
            <w:tcW w:type="dxa" w:w="5256"/>
            <w:vAlign w:val="center"/>
            <w:tcMar>
              <w:top w:w="72" w:type="dxa"/>
              <w:start w:w="82" w:type="dxa"/>
              <w:bottom w:w="72" w:type="dxa"/>
              <w:end w:w="82" w:type="dxa"/>
            </w:tcMar>
            <w:shd w:fill="F4F7F8"/>
          </w:tcPr>
          <w:p>
            <w:pPr>
              <w:spacing w:after="0"/>
            </w:pPr>
            <w:r>
              <w:rPr>
                <w:sz w:val="16"/>
              </w:rPr>
              <w:t>Yes / No / Mixed / Insufficient</w:t>
            </w:r>
          </w:p>
        </w:tc>
      </w:tr>
      <w:tr>
        <w:trPr>
          <w:cantSplit/>
        </w:trPr>
        <w:tc>
          <w:tcPr>
            <w:tcW w:type="dxa" w:w="4968"/>
            <w:vAlign w:val="center"/>
            <w:tcMar>
              <w:top w:w="72" w:type="dxa"/>
              <w:start w:w="82" w:type="dxa"/>
              <w:bottom w:w="72" w:type="dxa"/>
              <w:end w:w="82" w:type="dxa"/>
            </w:tcMar>
          </w:tcPr>
          <w:p>
            <w:pPr>
              <w:spacing w:after="0"/>
            </w:pPr>
            <w:r>
              <w:rPr>
                <w:b/>
                <w:sz w:val="16"/>
              </w:rPr>
              <w:t>Were authorship and verification preserved?</w:t>
            </w:r>
          </w:p>
        </w:tc>
        <w:tc>
          <w:tcPr>
            <w:tcW w:type="dxa" w:w="5256"/>
            <w:vAlign w:val="center"/>
            <w:tcMar>
              <w:top w:w="72" w:type="dxa"/>
              <w:start w:w="82" w:type="dxa"/>
              <w:bottom w:w="72" w:type="dxa"/>
              <w:end w:w="82" w:type="dxa"/>
            </w:tcMar>
          </w:tcPr>
          <w:p>
            <w:pPr>
              <w:spacing w:after="0"/>
            </w:pPr>
            <w:r>
              <w:rPr>
                <w:sz w:val="16"/>
              </w:rPr>
              <w:t>Yes / No / Mixed / Insufficient</w:t>
            </w:r>
          </w:p>
        </w:tc>
      </w:tr>
      <w:tr>
        <w:trPr>
          <w:cantSplit/>
        </w:trPr>
        <w:tc>
          <w:tcPr>
            <w:tcW w:type="dxa" w:w="4968"/>
            <w:vAlign w:val="center"/>
            <w:tcMar>
              <w:top w:w="72" w:type="dxa"/>
              <w:start w:w="82" w:type="dxa"/>
              <w:bottom w:w="72" w:type="dxa"/>
              <w:end w:w="82" w:type="dxa"/>
            </w:tcMar>
            <w:shd w:fill="F4F7F8"/>
          </w:tcPr>
          <w:p>
            <w:pPr>
              <w:spacing w:after="0"/>
            </w:pPr>
            <w:r>
              <w:rPr>
                <w:b/>
                <w:sz w:val="16"/>
              </w:rPr>
              <w:t>Did human relationships or wellness change?</w:t>
            </w:r>
          </w:p>
        </w:tc>
        <w:tc>
          <w:tcPr>
            <w:tcW w:type="dxa" w:w="5256"/>
            <w:vAlign w:val="center"/>
            <w:tcMar>
              <w:top w:w="72" w:type="dxa"/>
              <w:start w:w="82" w:type="dxa"/>
              <w:bottom w:w="72" w:type="dxa"/>
              <w:end w:w="82" w:type="dxa"/>
            </w:tcMar>
            <w:shd w:fill="F4F7F8"/>
          </w:tcPr>
          <w:p>
            <w:pPr>
              <w:spacing w:after="0"/>
            </w:pPr>
            <w:r>
              <w:rPr>
                <w:sz w:val="16"/>
              </w:rPr>
              <w:t>Improved / Worsened / Mixed / No detected change / Insufficient</w:t>
            </w:r>
          </w:p>
        </w:tc>
      </w:tr>
      <w:tr>
        <w:trPr>
          <w:cantSplit/>
        </w:trPr>
        <w:tc>
          <w:tcPr>
            <w:tcW w:type="dxa" w:w="4968"/>
            <w:vAlign w:val="center"/>
            <w:tcMar>
              <w:top w:w="72" w:type="dxa"/>
              <w:start w:w="82" w:type="dxa"/>
              <w:bottom w:w="72" w:type="dxa"/>
              <w:end w:w="82" w:type="dxa"/>
            </w:tcMar>
          </w:tcPr>
          <w:p>
            <w:pPr>
              <w:spacing w:after="0"/>
            </w:pPr>
            <w:r>
              <w:rPr>
                <w:b/>
                <w:sz w:val="16"/>
              </w:rPr>
              <w:t>Phase Nine status update</w:t>
            </w:r>
          </w:p>
        </w:tc>
        <w:tc>
          <w:tcPr>
            <w:tcW w:type="dxa" w:w="5256"/>
            <w:vAlign w:val="center"/>
            <w:tcMar>
              <w:top w:w="72" w:type="dxa"/>
              <w:start w:w="82" w:type="dxa"/>
              <w:bottom w:w="72" w:type="dxa"/>
              <w:end w:w="82" w:type="dxa"/>
            </w:tcMar>
          </w:tcPr>
          <w:p>
            <w:pPr>
              <w:spacing w:after="0"/>
            </w:pPr>
            <w:r>
              <w:rPr>
                <w:sz w:val="16"/>
              </w:rPr>
              <w:t>V / P / M / R / S; PH-0 / PH-1 / PH-2 / PH-3 / PH-4</w:t>
            </w:r>
          </w:p>
        </w:tc>
      </w:tr>
    </w:tbl>
    <w:p>
      <w:pPr>
        <w:pStyle w:val="Heading1"/>
      </w:pPr>
      <w:r>
        <w:t>Evidence governance and reporting</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232"/>
            <w:vAlign w:val="center"/>
            <w:shd w:fill="193F58"/>
            <w:tcMar>
              <w:top w:w="72" w:type="dxa"/>
              <w:start w:w="82" w:type="dxa"/>
              <w:bottom w:w="72" w:type="dxa"/>
              <w:end w:w="82" w:type="dxa"/>
            </w:tcMar>
          </w:tcPr>
          <w:p>
            <w:pPr>
              <w:spacing w:after="0"/>
            </w:pPr>
            <w:r>
              <w:rPr>
                <w:b/>
                <w:color w:val="FFFFFF"/>
                <w:sz w:val="16"/>
              </w:rPr>
              <w:t>Requirement</w:t>
            </w:r>
          </w:p>
        </w:tc>
        <w:tc>
          <w:tcPr>
            <w:tcW w:type="dxa" w:w="7992"/>
            <w:vAlign w:val="center"/>
            <w:shd w:fill="193F58"/>
            <w:tcMar>
              <w:top w:w="72" w:type="dxa"/>
              <w:start w:w="82" w:type="dxa"/>
              <w:bottom w:w="72" w:type="dxa"/>
              <w:end w:w="82" w:type="dxa"/>
            </w:tcMar>
          </w:tcPr>
          <w:p>
            <w:pPr>
              <w:spacing w:after="0"/>
            </w:pPr>
            <w:r>
              <w:rPr>
                <w:b/>
                <w:color w:val="FFFFFF"/>
                <w:sz w:val="16"/>
              </w:rPr>
              <w:t>Rule</w:t>
            </w:r>
          </w:p>
        </w:tc>
      </w:tr>
      <w:tr>
        <w:trPr>
          <w:cantSplit/>
        </w:trPr>
        <w:tc>
          <w:tcPr>
            <w:tcW w:type="dxa" w:w="2232"/>
            <w:vAlign w:val="center"/>
            <w:tcMar>
              <w:top w:w="72" w:type="dxa"/>
              <w:start w:w="82" w:type="dxa"/>
              <w:bottom w:w="72" w:type="dxa"/>
              <w:end w:w="82" w:type="dxa"/>
            </w:tcMar>
          </w:tcPr>
          <w:p>
            <w:pPr>
              <w:spacing w:after="0"/>
            </w:pPr>
            <w:r>
              <w:rPr>
                <w:b/>
                <w:sz w:val="16"/>
              </w:rPr>
              <w:t>Protocol registration</w:t>
            </w:r>
          </w:p>
        </w:tc>
        <w:tc>
          <w:tcPr>
            <w:tcW w:type="dxa" w:w="7992"/>
            <w:vAlign w:val="center"/>
            <w:tcMar>
              <w:top w:w="72" w:type="dxa"/>
              <w:start w:w="82" w:type="dxa"/>
              <w:bottom w:w="72" w:type="dxa"/>
              <w:end w:w="82" w:type="dxa"/>
            </w:tcMar>
          </w:tcPr>
          <w:p>
            <w:pPr>
              <w:spacing w:after="0"/>
            </w:pPr>
            <w:r>
              <w:rPr>
                <w:sz w:val="16"/>
              </w:rPr>
              <w:t>Record outcomes, time windows, comparisons, exclusions, and subgroup plans before reviewing results.</w:t>
            </w:r>
          </w:p>
        </w:tc>
      </w:tr>
      <w:tr>
        <w:trPr>
          <w:cantSplit/>
        </w:trPr>
        <w:tc>
          <w:tcPr>
            <w:tcW w:type="dxa" w:w="2232"/>
            <w:vAlign w:val="center"/>
            <w:tcMar>
              <w:top w:w="72" w:type="dxa"/>
              <w:start w:w="82" w:type="dxa"/>
              <w:bottom w:w="72" w:type="dxa"/>
              <w:end w:w="82" w:type="dxa"/>
            </w:tcMar>
            <w:shd w:fill="F4F7F8"/>
          </w:tcPr>
          <w:p>
            <w:pPr>
              <w:spacing w:after="0"/>
            </w:pPr>
            <w:r>
              <w:rPr>
                <w:b/>
                <w:sz w:val="16"/>
              </w:rPr>
              <w:t>Data minimization</w:t>
            </w:r>
          </w:p>
        </w:tc>
        <w:tc>
          <w:tcPr>
            <w:tcW w:type="dxa" w:w="7992"/>
            <w:vAlign w:val="center"/>
            <w:tcMar>
              <w:top w:w="72" w:type="dxa"/>
              <w:start w:w="82" w:type="dxa"/>
              <w:bottom w:w="72" w:type="dxa"/>
              <w:end w:w="82" w:type="dxa"/>
            </w:tcMar>
            <w:shd w:fill="F4F7F8"/>
          </w:tcPr>
          <w:p>
            <w:pPr>
              <w:spacing w:after="0"/>
            </w:pPr>
            <w:r>
              <w:rPr>
                <w:sz w:val="16"/>
              </w:rPr>
              <w:t>Collect only what the educational question requires; separate identifiers and limit retention.</w:t>
            </w:r>
          </w:p>
        </w:tc>
      </w:tr>
      <w:tr>
        <w:trPr>
          <w:cantSplit/>
        </w:trPr>
        <w:tc>
          <w:tcPr>
            <w:tcW w:type="dxa" w:w="2232"/>
            <w:vAlign w:val="center"/>
            <w:tcMar>
              <w:top w:w="72" w:type="dxa"/>
              <w:start w:w="82" w:type="dxa"/>
              <w:bottom w:w="72" w:type="dxa"/>
              <w:end w:w="82" w:type="dxa"/>
            </w:tcMar>
          </w:tcPr>
          <w:p>
            <w:pPr>
              <w:spacing w:after="0"/>
            </w:pPr>
            <w:r>
              <w:rPr>
                <w:b/>
                <w:sz w:val="16"/>
              </w:rPr>
              <w:t>Human review</w:t>
            </w:r>
          </w:p>
        </w:tc>
        <w:tc>
          <w:tcPr>
            <w:tcW w:type="dxa" w:w="7992"/>
            <w:vAlign w:val="center"/>
            <w:tcMar>
              <w:top w:w="72" w:type="dxa"/>
              <w:start w:w="82" w:type="dxa"/>
              <w:bottom w:w="72" w:type="dxa"/>
              <w:end w:w="82" w:type="dxa"/>
            </w:tcMar>
          </w:tcPr>
          <w:p>
            <w:pPr>
              <w:spacing w:after="0"/>
            </w:pPr>
            <w:r>
              <w:rPr>
                <w:sz w:val="16"/>
              </w:rPr>
              <w:t>Educators or trained reviewers examine scored work and any integrity or wellness concern.</w:t>
            </w:r>
          </w:p>
        </w:tc>
      </w:tr>
      <w:tr>
        <w:trPr>
          <w:cantSplit/>
        </w:trPr>
        <w:tc>
          <w:tcPr>
            <w:tcW w:type="dxa" w:w="2232"/>
            <w:vAlign w:val="center"/>
            <w:tcMar>
              <w:top w:w="72" w:type="dxa"/>
              <w:start w:w="82" w:type="dxa"/>
              <w:bottom w:w="72" w:type="dxa"/>
              <w:end w:w="82" w:type="dxa"/>
            </w:tcMar>
            <w:shd w:fill="F4F7F8"/>
          </w:tcPr>
          <w:p>
            <w:pPr>
              <w:spacing w:after="0"/>
            </w:pPr>
            <w:r>
              <w:rPr>
                <w:b/>
                <w:sz w:val="16"/>
              </w:rPr>
              <w:t>Accessibility</w:t>
            </w:r>
          </w:p>
        </w:tc>
        <w:tc>
          <w:tcPr>
            <w:tcW w:type="dxa" w:w="7992"/>
            <w:vAlign w:val="center"/>
            <w:tcMar>
              <w:top w:w="72" w:type="dxa"/>
              <w:start w:w="82" w:type="dxa"/>
              <w:bottom w:w="72" w:type="dxa"/>
              <w:end w:w="82" w:type="dxa"/>
            </w:tcMar>
            <w:shd w:fill="F4F7F8"/>
          </w:tcPr>
          <w:p>
            <w:pPr>
              <w:spacing w:after="0"/>
            </w:pPr>
            <w:r>
              <w:rPr>
                <w:sz w:val="16"/>
              </w:rPr>
              <w:t>Provide ordinary accommodations and explain how they differ from AI generation of the target act.</w:t>
            </w:r>
          </w:p>
        </w:tc>
      </w:tr>
      <w:tr>
        <w:trPr>
          <w:cantSplit/>
        </w:trPr>
        <w:tc>
          <w:tcPr>
            <w:tcW w:type="dxa" w:w="2232"/>
            <w:vAlign w:val="center"/>
            <w:tcMar>
              <w:top w:w="72" w:type="dxa"/>
              <w:start w:w="82" w:type="dxa"/>
              <w:bottom w:w="72" w:type="dxa"/>
              <w:end w:w="82" w:type="dxa"/>
            </w:tcMar>
          </w:tcPr>
          <w:p>
            <w:pPr>
              <w:spacing w:after="0"/>
            </w:pPr>
            <w:r>
              <w:rPr>
                <w:b/>
                <w:sz w:val="16"/>
              </w:rPr>
              <w:t>Transparency</w:t>
            </w:r>
          </w:p>
        </w:tc>
        <w:tc>
          <w:tcPr>
            <w:tcW w:type="dxa" w:w="7992"/>
            <w:vAlign w:val="center"/>
            <w:tcMar>
              <w:top w:w="72" w:type="dxa"/>
              <w:start w:w="82" w:type="dxa"/>
              <w:bottom w:w="72" w:type="dxa"/>
              <w:end w:w="82" w:type="dxa"/>
            </w:tcMar>
          </w:tcPr>
          <w:p>
            <w:pPr>
              <w:spacing w:after="0"/>
            </w:pPr>
            <w:r>
              <w:rPr>
                <w:sz w:val="16"/>
              </w:rPr>
              <w:t>Tell learners what is measured, what AI is recorded, who can see it, and what consequences are possible.</w:t>
            </w:r>
          </w:p>
        </w:tc>
      </w:tr>
      <w:tr>
        <w:trPr>
          <w:cantSplit/>
        </w:trPr>
        <w:tc>
          <w:tcPr>
            <w:tcW w:type="dxa" w:w="2232"/>
            <w:vAlign w:val="center"/>
            <w:tcMar>
              <w:top w:w="72" w:type="dxa"/>
              <w:start w:w="82" w:type="dxa"/>
              <w:bottom w:w="72" w:type="dxa"/>
              <w:end w:w="82" w:type="dxa"/>
            </w:tcMar>
            <w:shd w:fill="F4F7F8"/>
          </w:tcPr>
          <w:p>
            <w:pPr>
              <w:spacing w:after="0"/>
            </w:pPr>
            <w:r>
              <w:rPr>
                <w:b/>
                <w:sz w:val="16"/>
              </w:rPr>
              <w:t>Version control</w:t>
            </w:r>
          </w:p>
        </w:tc>
        <w:tc>
          <w:tcPr>
            <w:tcW w:type="dxa" w:w="7992"/>
            <w:vAlign w:val="center"/>
            <w:tcMar>
              <w:top w:w="72" w:type="dxa"/>
              <w:start w:w="82" w:type="dxa"/>
              <w:bottom w:w="72" w:type="dxa"/>
              <w:end w:w="82" w:type="dxa"/>
            </w:tcMar>
            <w:shd w:fill="F4F7F8"/>
          </w:tcPr>
          <w:p>
            <w:pPr>
              <w:spacing w:after="0"/>
            </w:pPr>
            <w:r>
              <w:rPr>
                <w:sz w:val="16"/>
              </w:rPr>
              <w:t>Preserve the policy, tool version, model, settings, prompt, and date; AI systems can change during a study.</w:t>
            </w:r>
          </w:p>
        </w:tc>
      </w:tr>
      <w:tr>
        <w:trPr>
          <w:cantSplit/>
        </w:trPr>
        <w:tc>
          <w:tcPr>
            <w:tcW w:type="dxa" w:w="2232"/>
            <w:vAlign w:val="center"/>
            <w:tcMar>
              <w:top w:w="72" w:type="dxa"/>
              <w:start w:w="82" w:type="dxa"/>
              <w:bottom w:w="72" w:type="dxa"/>
              <w:end w:w="82" w:type="dxa"/>
            </w:tcMar>
          </w:tcPr>
          <w:p>
            <w:pPr>
              <w:spacing w:after="0"/>
            </w:pPr>
            <w:r>
              <w:rPr>
                <w:b/>
                <w:sz w:val="16"/>
              </w:rPr>
              <w:t>Negative and null results</w:t>
            </w:r>
          </w:p>
        </w:tc>
        <w:tc>
          <w:tcPr>
            <w:tcW w:type="dxa" w:w="7992"/>
            <w:vAlign w:val="center"/>
            <w:tcMar>
              <w:top w:w="72" w:type="dxa"/>
              <w:start w:w="82" w:type="dxa"/>
              <w:bottom w:w="72" w:type="dxa"/>
              <w:end w:w="82" w:type="dxa"/>
            </w:tcMar>
          </w:tcPr>
          <w:p>
            <w:pPr>
              <w:spacing w:after="0"/>
            </w:pPr>
            <w:r>
              <w:rPr>
                <w:sz w:val="16"/>
              </w:rPr>
              <w:t>Report no effect and adverse effects, not only successful pilots.</w:t>
            </w:r>
          </w:p>
        </w:tc>
      </w:tr>
      <w:tr>
        <w:trPr>
          <w:cantSplit/>
        </w:trPr>
        <w:tc>
          <w:tcPr>
            <w:tcW w:type="dxa" w:w="2232"/>
            <w:vAlign w:val="center"/>
            <w:tcMar>
              <w:top w:w="72" w:type="dxa"/>
              <w:start w:w="82" w:type="dxa"/>
              <w:bottom w:w="72" w:type="dxa"/>
              <w:end w:w="82" w:type="dxa"/>
            </w:tcMar>
            <w:shd w:fill="F4F7F8"/>
          </w:tcPr>
          <w:p>
            <w:pPr>
              <w:spacing w:after="0"/>
            </w:pPr>
            <w:r>
              <w:rPr>
                <w:b/>
                <w:sz w:val="16"/>
              </w:rPr>
              <w:t>Limits</w:t>
            </w:r>
          </w:p>
        </w:tc>
        <w:tc>
          <w:tcPr>
            <w:tcW w:type="dxa" w:w="7992"/>
            <w:vAlign w:val="center"/>
            <w:tcMar>
              <w:top w:w="72" w:type="dxa"/>
              <w:start w:w="82" w:type="dxa"/>
              <w:bottom w:w="72" w:type="dxa"/>
              <w:end w:w="82" w:type="dxa"/>
            </w:tcMar>
            <w:shd w:fill="F4F7F8"/>
          </w:tcPr>
          <w:p>
            <w:pPr>
              <w:spacing w:after="0"/>
            </w:pPr>
            <w:r>
              <w:rPr>
                <w:sz w:val="16"/>
              </w:rPr>
              <w:t>State design weakness, attrition, sample size, implementation variation, and unmeasured alternatives.</w:t>
            </w:r>
          </w:p>
        </w:tc>
      </w:tr>
    </w:tbl>
    <w:p>
      <w:pPr>
        <w:pStyle w:val="Heading1"/>
      </w:pPr>
      <w:r>
        <w:t>What the protocol may support</w:t>
      </w:r>
    </w:p>
    <w:p>
      <w:pPr>
        <w:pStyle w:val="ListBullet"/>
      </w:pPr>
      <w:r>
        <w:t>A limited judgment about a defined learning activity, student group, AI condition, and time window.</w:t>
      </w:r>
    </w:p>
    <w:p>
      <w:pPr>
        <w:pStyle w:val="ListBullet"/>
      </w:pPr>
      <w:r>
        <w:t>A comparison of AI alone, AI plus a human educator, teacher-facing AI, and protected human-only work.</w:t>
      </w:r>
    </w:p>
    <w:p>
      <w:pPr>
        <w:pStyle w:val="ListBullet"/>
      </w:pPr>
      <w:r>
        <w:t>A verified Phase Nine status change and a decision to expand, narrow, redesign, pause, or prohibit the defined use.</w:t>
      </w:r>
    </w:p>
    <w:p>
      <w:pPr>
        <w:pStyle w:val="Heading1"/>
      </w:pPr>
      <w:r>
        <w:t>What the protocol may not support</w:t>
      </w:r>
    </w:p>
    <w:p>
      <w:pPr>
        <w:pStyle w:val="ListBullet"/>
      </w:pPr>
      <w:r>
        <w:t>A claim that one test fully measures a well-formed mind, character, faith, mental health, or human worth.</w:t>
      </w:r>
    </w:p>
    <w:p>
      <w:pPr>
        <w:pStyle w:val="ListBullet"/>
      </w:pPr>
      <w:r>
        <w:t>A misconduct finding based solely on a performance gap, detector, style change, or AI-generated probability.</w:t>
      </w:r>
    </w:p>
    <w:p>
      <w:pPr>
        <w:pStyle w:val="ListBullet"/>
      </w:pPr>
      <w:r>
        <w:t>A campus-wide, schoolwide, or causal claim from one case or while baseline, implementation, attrition, or alternatives remain unresolved.</w:t>
      </w:r>
    </w:p>
    <w:p>
      <w:pPr>
        <w:pStyle w:val="Heading1"/>
      </w:pPr>
      <w:r>
        <w:t>Phase Eleven handoff</w:t>
      </w:r>
    </w:p>
    <w:p>
      <w:r>
        <w:t>Phase Eleven should turn this protocol into a prospective pilot scorecard for Berkeley Law, Stanford, USC, Thomas Aquinas College, and High Tech High, while retaining Mother of Divine Grace as a separate K-through-12 benchmark. It must separate executable design from unavailable results and identify the evidence needed for PH-3 or PH-4.</w:t>
      </w:r>
    </w:p>
    <w:p>
      <w:pPr>
        <w:spacing w:before="100" w:after="40"/>
      </w:pPr>
      <w:r>
        <w:rPr>
          <w:b/>
        </w:rPr>
        <w:t xml:space="preserve">Method sources  </w:t>
      </w:r>
      <w:hyperlink r:id="rId14">
        <w:r>
          <w:rPr>
            <w:color w:val="346685"/>
            <w:u w:val="single"/>
          </w:rPr>
          <w:t>WWC</w:t>
        </w:r>
      </w:hyperlink>
      <w:r>
        <w:t xml:space="preserve">  |  </w:t>
      </w:r>
      <w:hyperlink r:id="rId11">
        <w:r>
          <w:rPr>
            <w:color w:val="346685"/>
            <w:u w:val="single"/>
          </w:rPr>
          <w:t>Student privacy</w:t>
        </w:r>
      </w:hyperlink>
      <w:r>
        <w:t xml:space="preserve">  |  </w:t>
      </w:r>
      <w:hyperlink r:id="rId9">
        <w:r>
          <w:rPr>
            <w:color w:val="346685"/>
            <w:u w:val="single"/>
          </w:rPr>
          <w:t>HHS child protections</w:t>
        </w:r>
      </w:hyperlink>
      <w:r>
        <w:t xml:space="preserve">  |  </w:t>
      </w:r>
      <w:hyperlink r:id="rId15">
        <w:r>
          <w:rPr>
            <w:color w:val="346685"/>
            <w:u w:val="single"/>
          </w:rPr>
          <w:t>SCALE</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hhs.gov/ohrp/regulations-and-policy/regulations/45-cfr-46/common-rule-subpart-d/index.html" TargetMode="External"/><Relationship Id="rId10" Type="http://schemas.openxmlformats.org/officeDocument/2006/relationships/hyperlink" Target="https://www.hhs.gov/ohrp/regulations-and-policy/guidance/faq/children-research/index.html" TargetMode="External"/><Relationship Id="rId11" Type="http://schemas.openxmlformats.org/officeDocument/2006/relationships/hyperlink" Target="https://studentprivacy.ed.gov/privacy-and-education-technology" TargetMode="External"/><Relationship Id="rId12" Type="http://schemas.openxmlformats.org/officeDocument/2006/relationships/hyperlink" Target="https://doi.org/10.1126/science.1152408" TargetMode="External"/><Relationship Id="rId13" Type="http://schemas.openxmlformats.org/officeDocument/2006/relationships/hyperlink" Target="https://doi.org/10.1126/science.1207745" TargetMode="External"/><Relationship Id="rId14" Type="http://schemas.openxmlformats.org/officeDocument/2006/relationships/hyperlink" Target="https://ies.ed.gov/ncee/wwc/Protocols" TargetMode="External"/><Relationship Id="rId15" Type="http://schemas.openxmlformats.org/officeDocument/2006/relationships/hyperlink" Target="https://scale.stanfo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Protected Human-Performance Protocol — Phase Ten</dc:title>
  <dc:subject>Age- and discipline-appropriate tests of unaided retention, transfer, authorship, judgment, attention, and wellness after AI assistance</dc:subject>
  <dc:creator/>
  <cp:keywords>California education, artificial intelligence, human performance, transfer, memory, authorship, wellness, K-12, higher education</cp:keywords>
  <dc:description>generated by python-docx</dc:description>
  <cp:lastModifiedBy/>
  <cp:revision>1</cp:revision>
  <dcterms:created xsi:type="dcterms:W3CDTF">2013-12-23T23:15:00Z</dcterms:created>
  <dcterms:modified xsi:type="dcterms:W3CDTF">2013-12-23T23:15:00Z</dcterms:modified>
  <cp:category/>
</cp:coreProperties>
</file>