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California Education and AI Public Evidence Archive</w:t>
      </w:r>
    </w:p>
    <w:p>
      <w:r>
        <w:rPr>
          <w:b/>
          <w:color w:val="2B5370"/>
          <w:sz w:val="22"/>
        </w:rPr>
        <w:t>Phase Seven  |  Baseline sources and selected review units</w:t>
      </w:r>
    </w:p>
    <w:p>
      <w:pPr>
        <w:spacing w:after="180"/>
      </w:pPr>
      <w:r>
        <w:t>Baseline date: September 12, 2026  •  Informational working document  •  Public evidence only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3D9DD"/>
          <w:left w:val="single" w:sz="5" w:color="D3D9DD"/>
          <w:bottom w:val="single" w:sz="5" w:color="D3D9DD"/>
          <w:right w:val="single" w:sz="5" w:color="D3D9DD"/>
          <w:insideH w:val="single" w:sz="5" w:color="D3D9DD"/>
          <w:insideV w:val="single" w:sz="5" w:color="D3D9DD"/>
        </w:tblBorders>
      </w:tblPr>
      <w:tblGrid>
        <w:gridCol w:w="5227"/>
        <w:gridCol w:w="5227"/>
      </w:tblGrid>
      <w:tr>
        <w:trPr>
          <w:cantSplit/>
        </w:trPr>
        <w:tc>
          <w:tcPr>
            <w:tcW w:type="dxa" w:w="2880"/>
            <w:shd w:fill="EDF3F6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b/>
              </w:rPr>
              <w:t>Responsible person</w:t>
            </w:r>
          </w:p>
        </w:tc>
        <w:tc>
          <w:tcPr>
            <w:tcW w:type="dxa" w:w="7632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t>________________________________________</w:t>
            </w:r>
          </w:p>
        </w:tc>
      </w:tr>
      <w:tr>
        <w:trPr>
          <w:cantSplit/>
        </w:trPr>
        <w:tc>
          <w:tcPr>
            <w:tcW w:type="dxa" w:w="2880"/>
            <w:shd w:fill="EDF3F6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b/>
              </w:rPr>
              <w:t>Organization or role</w:t>
            </w:r>
          </w:p>
        </w:tc>
        <w:tc>
          <w:tcPr>
            <w:tcW w:type="dxa" w:w="7632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t>________________________________________</w:t>
            </w:r>
          </w:p>
        </w:tc>
      </w:tr>
      <w:tr>
        <w:trPr>
          <w:cantSplit/>
        </w:trPr>
        <w:tc>
          <w:tcPr>
            <w:tcW w:type="dxa" w:w="2880"/>
            <w:shd w:fill="EDF3F6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7632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t>________________________________________</w:t>
            </w:r>
          </w:p>
        </w:tc>
      </w:tr>
    </w:tbl>
    <w:p>
      <w:pPr>
        <w:pStyle w:val="Heading1"/>
      </w:pPr>
      <w:r>
        <w:t>Phase decision</w:t>
      </w:r>
    </w:p>
    <w:p>
      <w:r>
        <w:t>The investigation is ready to move from design to a dated public-evidence baseline. All ten California institutions remain in scope. The comparison uses separate K through 12 and higher-education tracks, records each institution's publicly stated educational purpose, and tests whether AI practice supports or displaces the formation of attention, memory, reasoning, judgment, communication, agency, and relationships.</w:t>
      </w:r>
    </w:p>
    <w:p>
      <w:r>
        <w:t>Mother of Divine Grace School is classified only as a K through 12 private Catholic distance-learning and home-education program. It is not a college or university. Thomas Aquinas College is a separate four-year college comparison.</w:t>
      </w:r>
    </w:p>
    <w:p>
      <w:pPr>
        <w:pStyle w:val="ListBullet"/>
        <w:ind w:left="346" w:hanging="202"/>
      </w:pPr>
      <w:r>
        <w:t>No information-request packet or direct outreach is included. This phase relies on official public pages, catalogs, handbooks, policies, course materials, board records, and published student work.</w:t>
      </w:r>
    </w:p>
    <w:p>
      <w:pPr>
        <w:pStyle w:val="ListBullet"/>
        <w:ind w:left="346" w:hanging="202"/>
      </w:pPr>
      <w:r>
        <w:t>Silence is not a policy. When a public AI statement cannot be located, record the result as a public-evidence gap rather than inferring permission, prohibition, or indifference.</w:t>
      </w:r>
    </w:p>
    <w:p>
      <w:pPr>
        <w:pStyle w:val="ListBullet"/>
        <w:ind w:left="346" w:hanging="202"/>
      </w:pPr>
      <w:r>
        <w:t>Institutional guidance and actual classroom practice are separate evidence layers and should not be treated as equivalent.</w:t>
      </w:r>
    </w:p>
    <w:p>
      <w:pPr>
        <w:pStyle w:val="Heading1"/>
      </w:pPr>
      <w:r>
        <w:t>Baseline evidence standard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3D9DD"/>
          <w:left w:val="single" w:sz="5" w:color="D3D9DD"/>
          <w:bottom w:val="single" w:sz="5" w:color="D3D9DD"/>
          <w:right w:val="single" w:sz="5" w:color="D3D9DD"/>
          <w:insideH w:val="single" w:sz="5" w:color="D3D9DD"/>
          <w:insideV w:val="single" w:sz="5" w:color="D3D9DD"/>
        </w:tblBorders>
      </w:tblPr>
      <w:tblGrid>
        <w:gridCol w:w="5227"/>
        <w:gridCol w:w="5227"/>
      </w:tblGrid>
      <w:tr>
        <w:trPr>
          <w:cantSplit/>
          <w:tblHeader w:val="true"/>
        </w:trPr>
        <w:tc>
          <w:tcPr>
            <w:tcW w:type="dxa" w:w="2232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6"/>
              </w:rPr>
              <w:t>Field</w:t>
            </w:r>
          </w:p>
        </w:tc>
        <w:tc>
          <w:tcPr>
            <w:tcW w:type="dxa" w:w="8280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6"/>
              </w:rPr>
              <w:t>Required record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Identity</w:t>
            </w:r>
          </w:p>
        </w:tc>
        <w:tc>
          <w:tcPr>
            <w:tcW w:type="dxa" w:w="8280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Institution, educational level, public/private status, document title, publishing unit, and canonical URL.</w:t>
            </w:r>
          </w:p>
        </w:tc>
      </w:tr>
      <w:tr>
        <w:trPr>
          <w:cantSplit/>
        </w:trPr>
        <w:tc>
          <w:tcPr>
            <w:tcW w:type="dxa" w:w="223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Time</w:t>
            </w:r>
          </w:p>
        </w:tc>
        <w:tc>
          <w:tcPr>
            <w:tcW w:type="dxa" w:w="8280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Publication or revision date when shown; access date; academic year; and whether the source is current, archived, or superseded.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Authority</w:t>
            </w:r>
          </w:p>
        </w:tc>
        <w:tc>
          <w:tcPr>
            <w:tcW w:type="dxa" w:w="8280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Institution-wide policy, division/school guidance, course rule, program description, board action, or illustrative practice.</w:t>
            </w:r>
          </w:p>
        </w:tc>
      </w:tr>
      <w:tr>
        <w:trPr>
          <w:cantSplit/>
        </w:trPr>
        <w:tc>
          <w:tcPr>
            <w:tcW w:type="dxa" w:w="223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AI scope</w:t>
            </w:r>
          </w:p>
        </w:tc>
        <w:tc>
          <w:tcPr>
            <w:tcW w:type="dxa" w:w="8280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Who may use AI, for what task, with what disclosure, data limits, approved tools, age/consent rules, and human verification.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Formation claim</w:t>
            </w:r>
          </w:p>
        </w:tc>
        <w:tc>
          <w:tcPr>
            <w:tcW w:type="dxa" w:w="8280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The educational capacity the source says it protects or develops: knowledge, wisdom, reasoning, writing, creativity, agency, relationship, ethics, or vocation.</w:t>
            </w:r>
          </w:p>
        </w:tc>
      </w:tr>
      <w:tr>
        <w:trPr>
          <w:cantSplit/>
        </w:trPr>
        <w:tc>
          <w:tcPr>
            <w:tcW w:type="dxa" w:w="223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Preservation</w:t>
            </w:r>
          </w:p>
        </w:tc>
        <w:tc>
          <w:tcPr>
            <w:tcW w:type="dxa" w:w="8280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Save page or PDF, title, URL, access date, visible version/date, and a change note. Where feasible retain a screenshot or PDF and a checksum.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Limitation</w:t>
            </w:r>
          </w:p>
        </w:tc>
        <w:tc>
          <w:tcPr>
            <w:tcW w:type="dxa" w:w="8280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State what the source cannot establish, especially implementation, student learning, independent transfer, mental fitness, or causal impact.</w:t>
            </w:r>
          </w:p>
        </w:tc>
      </w:tr>
    </w:tbl>
    <w:p>
      <w:pPr>
        <w:spacing w:after="0"/>
      </w:pPr>
    </w:p>
    <w:p>
      <w:pPr>
        <w:pStyle w:val="Heading1"/>
      </w:pPr>
      <w:r>
        <w:t>Evidence and AI-condition codes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3D9DD"/>
          <w:left w:val="single" w:sz="5" w:color="D3D9DD"/>
          <w:bottom w:val="single" w:sz="5" w:color="D3D9DD"/>
          <w:right w:val="single" w:sz="5" w:color="D3D9DD"/>
          <w:insideH w:val="single" w:sz="5" w:color="D3D9DD"/>
          <w:insideV w:val="single" w:sz="5" w:color="D3D9DD"/>
        </w:tblBorders>
      </w:tblPr>
      <w:tblGrid>
        <w:gridCol w:w="3485"/>
        <w:gridCol w:w="3485"/>
        <w:gridCol w:w="3485"/>
      </w:tblGrid>
      <w:tr>
        <w:trPr>
          <w:cantSplit/>
          <w:tblHeader w:val="true"/>
        </w:trPr>
        <w:tc>
          <w:tcPr>
            <w:tcW w:type="dxa" w:w="1008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6"/>
              </w:rPr>
              <w:t>Code</w:t>
            </w:r>
          </w:p>
        </w:tc>
        <w:tc>
          <w:tcPr>
            <w:tcW w:type="dxa" w:w="3240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6"/>
              </w:rPr>
              <w:t>Meaning</w:t>
            </w:r>
          </w:p>
        </w:tc>
        <w:tc>
          <w:tcPr>
            <w:tcW w:type="dxa" w:w="6264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6"/>
              </w:rPr>
              <w:t>Use</w:t>
            </w:r>
          </w:p>
        </w:tc>
      </w:tr>
      <w:tr>
        <w:trPr>
          <w:cantSplit/>
        </w:trPr>
        <w:tc>
          <w:tcPr>
            <w:tcW w:type="dxa" w:w="1008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C</w:t>
            </w:r>
          </w:p>
        </w:tc>
        <w:tc>
          <w:tcPr>
            <w:tcW w:type="dxa" w:w="3240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Current</w:t>
            </w:r>
          </w:p>
        </w:tc>
        <w:tc>
          <w:tcPr>
            <w:tcW w:type="dxa" w:w="626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Official source appears current at baseline date.</w:t>
            </w:r>
          </w:p>
        </w:tc>
      </w:tr>
      <w:tr>
        <w:trPr>
          <w:cantSplit/>
        </w:trPr>
        <w:tc>
          <w:tcPr>
            <w:tcW w:type="dxa" w:w="1008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A</w:t>
            </w:r>
          </w:p>
        </w:tc>
        <w:tc>
          <w:tcPr>
            <w:tcW w:type="dxa" w:w="3240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Archived</w:t>
            </w:r>
          </w:p>
        </w:tc>
        <w:tc>
          <w:tcPr>
            <w:tcW w:type="dxa" w:w="626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Historical source retained for comparison.</w:t>
            </w:r>
          </w:p>
        </w:tc>
      </w:tr>
      <w:tr>
        <w:trPr>
          <w:cantSplit/>
        </w:trPr>
        <w:tc>
          <w:tcPr>
            <w:tcW w:type="dxa" w:w="1008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Δ</w:t>
            </w:r>
          </w:p>
        </w:tc>
        <w:tc>
          <w:tcPr>
            <w:tcW w:type="dxa" w:w="3240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Changed</w:t>
            </w:r>
          </w:p>
        </w:tc>
        <w:tc>
          <w:tcPr>
            <w:tcW w:type="dxa" w:w="626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Material wording, tool, scope, or governance change found.</w:t>
            </w:r>
          </w:p>
        </w:tc>
      </w:tr>
      <w:tr>
        <w:trPr>
          <w:cantSplit/>
        </w:trPr>
        <w:tc>
          <w:tcPr>
            <w:tcW w:type="dxa" w:w="1008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M</w:t>
            </w:r>
          </w:p>
        </w:tc>
        <w:tc>
          <w:tcPr>
            <w:tcW w:type="dxa" w:w="3240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Missing</w:t>
            </w:r>
          </w:p>
        </w:tc>
        <w:tc>
          <w:tcPr>
            <w:tcW w:type="dxa" w:w="626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Required public evidence not located.</w:t>
            </w:r>
          </w:p>
        </w:tc>
      </w:tr>
      <w:tr>
        <w:trPr>
          <w:cantSplit/>
        </w:trPr>
        <w:tc>
          <w:tcPr>
            <w:tcW w:type="dxa" w:w="1008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S</w:t>
            </w:r>
          </w:p>
        </w:tc>
        <w:tc>
          <w:tcPr>
            <w:tcW w:type="dxa" w:w="3240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Superseded</w:t>
            </w:r>
          </w:p>
        </w:tc>
        <w:tc>
          <w:tcPr>
            <w:tcW w:type="dxa" w:w="626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Newer official source controls.</w:t>
            </w:r>
          </w:p>
        </w:tc>
      </w:tr>
      <w:tr>
        <w:trPr>
          <w:cantSplit/>
        </w:trPr>
        <w:tc>
          <w:tcPr>
            <w:tcW w:type="dxa" w:w="1008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R</w:t>
            </w:r>
          </w:p>
        </w:tc>
        <w:tc>
          <w:tcPr>
            <w:tcW w:type="dxa" w:w="3240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Restricted</w:t>
            </w:r>
          </w:p>
        </w:tc>
        <w:tc>
          <w:tcPr>
            <w:tcW w:type="dxa" w:w="626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Known source is not publicly accessible.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3D9DD"/>
          <w:left w:val="single" w:sz="5" w:color="D3D9DD"/>
          <w:bottom w:val="single" w:sz="5" w:color="D3D9DD"/>
          <w:right w:val="single" w:sz="5" w:color="D3D9DD"/>
          <w:insideH w:val="single" w:sz="5" w:color="D3D9DD"/>
          <w:insideV w:val="single" w:sz="5" w:color="D3D9DD"/>
        </w:tblBorders>
      </w:tblPr>
      <w:tblGrid>
        <w:gridCol w:w="3485"/>
        <w:gridCol w:w="3485"/>
        <w:gridCol w:w="3485"/>
      </w:tblGrid>
      <w:tr>
        <w:trPr>
          <w:cantSplit/>
          <w:tblHeader w:val="true"/>
        </w:trPr>
        <w:tc>
          <w:tcPr>
            <w:tcW w:type="dxa" w:w="1152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5"/>
              </w:rPr>
              <w:t>Condition</w:t>
            </w:r>
          </w:p>
        </w:tc>
        <w:tc>
          <w:tcPr>
            <w:tcW w:type="dxa" w:w="4104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5"/>
              </w:rPr>
              <w:t>Definition</w:t>
            </w:r>
          </w:p>
        </w:tc>
        <w:tc>
          <w:tcPr>
            <w:tcW w:type="dxa" w:w="5256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5"/>
              </w:rPr>
              <w:t>Formation question</w:t>
            </w:r>
          </w:p>
        </w:tc>
      </w:tr>
      <w:tr>
        <w:trPr>
          <w:cantSplit/>
        </w:trPr>
        <w:tc>
          <w:tcPr>
            <w:tcW w:type="dxa" w:w="115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4"/>
              </w:rPr>
              <w:t>H0</w:t>
            </w:r>
          </w:p>
        </w:tc>
        <w:tc>
          <w:tcPr>
            <w:tcW w:type="dxa" w:w="410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Protected human performance: no AI during the task.</w:t>
            </w:r>
          </w:p>
        </w:tc>
        <w:tc>
          <w:tcPr>
            <w:tcW w:type="dxa" w:w="5256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What can the student independently remember, reason, create, explain, or defend?</w:t>
            </w:r>
          </w:p>
        </w:tc>
      </w:tr>
      <w:tr>
        <w:trPr>
          <w:cantSplit/>
        </w:trPr>
        <w:tc>
          <w:tcPr>
            <w:tcW w:type="dxa" w:w="115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4"/>
              </w:rPr>
              <w:t>H1</w:t>
            </w:r>
          </w:p>
        </w:tc>
        <w:tc>
          <w:tcPr>
            <w:tcW w:type="dxa" w:w="410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Teacher-facing AI only; students complete the learning task without AI.</w:t>
            </w:r>
          </w:p>
        </w:tc>
        <w:tc>
          <w:tcPr>
            <w:tcW w:type="dxa" w:w="5256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Does instructional support improve learning without outsourcing student cognition?</w:t>
            </w:r>
          </w:p>
        </w:tc>
      </w:tr>
      <w:tr>
        <w:trPr>
          <w:cantSplit/>
        </w:trPr>
        <w:tc>
          <w:tcPr>
            <w:tcW w:type="dxa" w:w="115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4"/>
              </w:rPr>
              <w:t>S1</w:t>
            </w:r>
          </w:p>
        </w:tc>
        <w:tc>
          <w:tcPr>
            <w:tcW w:type="dxa" w:w="410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Bounded student AI use with stated purpose, limits, disclosure, and verification.</w:t>
            </w:r>
          </w:p>
        </w:tc>
        <w:tc>
          <w:tcPr>
            <w:tcW w:type="dxa" w:w="5256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Does AI provide feedback or extension while preserving productive struggle and authorship?</w:t>
            </w:r>
          </w:p>
        </w:tc>
      </w:tr>
      <w:tr>
        <w:trPr>
          <w:cantSplit/>
        </w:trPr>
        <w:tc>
          <w:tcPr>
            <w:tcW w:type="dxa" w:w="115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4"/>
              </w:rPr>
              <w:t>S2</w:t>
            </w:r>
          </w:p>
        </w:tc>
        <w:tc>
          <w:tcPr>
            <w:tcW w:type="dxa" w:w="410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Open student AI use within general integrity rules.</w:t>
            </w:r>
          </w:p>
        </w:tc>
        <w:tc>
          <w:tcPr>
            <w:tcW w:type="dxa" w:w="5256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What is gained, and what independent capability may be obscured or lost?</w:t>
            </w:r>
          </w:p>
        </w:tc>
      </w:tr>
    </w:tbl>
    <w:p>
      <w:pPr>
        <w:spacing w:after="0"/>
      </w:pPr>
    </w:p>
    <w:p>
      <w:pPr>
        <w:pStyle w:val="Heading1"/>
      </w:pPr>
      <w:r>
        <w:t>Ten-institution baseline and review units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3D9DD"/>
          <w:left w:val="single" w:sz="5" w:color="D3D9DD"/>
          <w:bottom w:val="single" w:sz="5" w:color="D3D9DD"/>
          <w:right w:val="single" w:sz="5" w:color="D3D9DD"/>
          <w:insideH w:val="single" w:sz="5" w:color="D3D9DD"/>
          <w:insideV w:val="single" w:sz="5" w:color="D3D9DD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cantSplit/>
          <w:tblHeader w:val="true"/>
        </w:trPr>
        <w:tc>
          <w:tcPr>
            <w:tcW w:type="dxa" w:w="1656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3"/>
              </w:rPr>
              <w:t>Institution</w:t>
            </w:r>
          </w:p>
        </w:tc>
        <w:tc>
          <w:tcPr>
            <w:tcW w:type="dxa" w:w="1512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3"/>
              </w:rPr>
              <w:t>Type/level</w:t>
            </w:r>
          </w:p>
        </w:tc>
        <w:tc>
          <w:tcPr>
            <w:tcW w:type="dxa" w:w="2664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3"/>
              </w:rPr>
              <w:t>Public baseline</w:t>
            </w:r>
          </w:p>
        </w:tc>
        <w:tc>
          <w:tcPr>
            <w:tcW w:type="dxa" w:w="2736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3"/>
              </w:rPr>
              <w:t>Selected review units</w:t>
            </w:r>
          </w:p>
        </w:tc>
        <w:tc>
          <w:tcPr>
            <w:tcW w:type="dxa" w:w="1944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3"/>
              </w:rPr>
              <w:t>Primary test</w:t>
            </w:r>
          </w:p>
        </w:tc>
      </w:tr>
      <w:tr>
        <w:trPr>
          <w:cantSplit/>
        </w:trPr>
        <w:tc>
          <w:tcPr>
            <w:tcW w:type="dxa" w:w="1656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3"/>
              </w:rPr>
              <w:t>UC Berkeley</w:t>
            </w:r>
          </w:p>
        </w:tc>
        <w:tc>
          <w:tcPr>
            <w:tcW w:type="dxa" w:w="151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Public university</w:t>
            </w:r>
          </w:p>
        </w:tc>
        <w:tc>
          <w:tcPr>
            <w:tcW w:type="dxa" w:w="266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C — Central AI Hub and teaching guidance; broad course and program ecosystem.</w:t>
            </w:r>
          </w:p>
        </w:tc>
        <w:tc>
          <w:tcPr>
            <w:tcW w:type="dxa" w:w="2736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AI Hub teaching resources; one writing/general-education course; one computing/data course; protected oral or in-person verification.</w:t>
            </w:r>
          </w:p>
        </w:tc>
        <w:tc>
          <w:tcPr>
            <w:tcW w:type="dxa" w:w="194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Compare institutional enablement with course-level limits and independent mastery.</w:t>
            </w:r>
          </w:p>
        </w:tc>
      </w:tr>
      <w:tr>
        <w:trPr>
          <w:cantSplit/>
        </w:trPr>
        <w:tc>
          <w:tcPr>
            <w:tcW w:type="dxa" w:w="1656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3"/>
              </w:rPr>
              <w:t>UCLA</w:t>
            </w:r>
          </w:p>
        </w:tc>
        <w:tc>
          <w:tcPr>
            <w:tcW w:type="dxa" w:w="151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Public university</w:t>
            </w:r>
          </w:p>
        </w:tc>
        <w:tc>
          <w:tcPr>
            <w:tcW w:type="dxa" w:w="266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C — Six teaching-and-learning principles; student AI literacy, faculty fellows, workshops, research-led adoption.</w:t>
            </w:r>
          </w:p>
        </w:tc>
        <w:tc>
          <w:tcPr>
            <w:tcW w:type="dxa" w:w="2736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AI Literacy Module; one Faculty Fellows course; one matched course with limited or no AI.</w:t>
            </w:r>
          </w:p>
        </w:tc>
        <w:tc>
          <w:tcPr>
            <w:tcW w:type="dxa" w:w="194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Test equity, literacy, assessment integrity, and evidence behind adoption.</w:t>
            </w:r>
          </w:p>
        </w:tc>
      </w:tr>
      <w:tr>
        <w:trPr>
          <w:cantSplit/>
        </w:trPr>
        <w:tc>
          <w:tcPr>
            <w:tcW w:type="dxa" w:w="1656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3"/>
              </w:rPr>
              <w:t>Stanford University</w:t>
            </w:r>
          </w:p>
        </w:tc>
        <w:tc>
          <w:tcPr>
            <w:tcW w:type="dxa" w:w="151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Private university</w:t>
            </w:r>
          </w:p>
        </w:tc>
        <w:tc>
          <w:tcPr>
            <w:tcW w:type="dxa" w:w="266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C — Course-specific rules; default caution; disclosure; AIMES examples; emphasis on deep engagement.</w:t>
            </w:r>
          </w:p>
        </w:tc>
        <w:tc>
          <w:tcPr>
            <w:tcW w:type="dxa" w:w="2736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One AIMES example permitting/bounding AI; one AIMES prohibited assessment; oral or unaided transfer task.</w:t>
            </w:r>
          </w:p>
        </w:tc>
        <w:tc>
          <w:tcPr>
            <w:tcW w:type="dxa" w:w="194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Compare stated learning purpose with the work students still perform themselves.</w:t>
            </w:r>
          </w:p>
        </w:tc>
      </w:tr>
      <w:tr>
        <w:trPr>
          <w:cantSplit/>
        </w:trPr>
        <w:tc>
          <w:tcPr>
            <w:tcW w:type="dxa" w:w="1656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3"/>
              </w:rPr>
              <w:t>University of Southern California</w:t>
            </w:r>
          </w:p>
        </w:tc>
        <w:tc>
          <w:tcPr>
            <w:tcW w:type="dxa" w:w="151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Private university</w:t>
            </w:r>
          </w:p>
        </w:tc>
        <w:tc>
          <w:tcPr>
            <w:tcW w:type="dxa" w:w="266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C — ChatGPT Edu available; faculty retain course-policy control; privacy, integrity, and training emphasized.</w:t>
            </w:r>
          </w:p>
        </w:tc>
        <w:tc>
          <w:tcPr>
            <w:tcW w:type="dxa" w:w="2736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Two courses with contrasting AI permissions; ChatGPT Edu training or AI-in-Education resource; disclosed student workflow.</w:t>
            </w:r>
          </w:p>
        </w:tc>
        <w:tc>
          <w:tcPr>
            <w:tcW w:type="dxa" w:w="194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Assess equitable access, faculty governance, assessment validity, and secure use.</w:t>
            </w:r>
          </w:p>
        </w:tc>
      </w:tr>
      <w:tr>
        <w:trPr>
          <w:cantSplit/>
        </w:trPr>
        <w:tc>
          <w:tcPr>
            <w:tcW w:type="dxa" w:w="1656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3"/>
              </w:rPr>
              <w:t>California Institute of Technology</w:t>
            </w:r>
          </w:p>
        </w:tc>
        <w:tc>
          <w:tcPr>
            <w:tcW w:type="dxa" w:w="151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Private university</w:t>
            </w:r>
          </w:p>
        </w:tc>
        <w:tc>
          <w:tcPr>
            <w:tcW w:type="dxa" w:w="266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C — Central guidance; instructor/division rules; discourages AI detectors; public Ethics &amp; AI course case.</w:t>
            </w:r>
          </w:p>
        </w:tc>
        <w:tc>
          <w:tcPr>
            <w:tcW w:type="dxa" w:w="2736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First-year Ethics &amp; AI writing sequence; technical course; proctored/oral/process verification.</w:t>
            </w:r>
          </w:p>
        </w:tc>
        <w:tc>
          <w:tcPr>
            <w:tcW w:type="dxa" w:w="194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Examine whether AI integration preserves writing, voice, trust, and technical reasoning.</w:t>
            </w:r>
          </w:p>
        </w:tc>
      </w:tr>
      <w:tr>
        <w:trPr>
          <w:cantSplit/>
        </w:trPr>
        <w:tc>
          <w:tcPr>
            <w:tcW w:type="dxa" w:w="1656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3"/>
              </w:rPr>
              <w:t>Loyola Marymount University</w:t>
            </w:r>
          </w:p>
        </w:tc>
        <w:tc>
          <w:tcPr>
            <w:tcW w:type="dxa" w:w="151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Private university</w:t>
            </w:r>
          </w:p>
        </w:tc>
        <w:tc>
          <w:tcPr>
            <w:tcW w:type="dxa" w:w="266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C — Intentional decisions, academic honesty, supported tools, privacy, alternatives, literacy, and faculty examples.</w:t>
            </w:r>
          </w:p>
        </w:tc>
        <w:tc>
          <w:tcPr>
            <w:tcW w:type="dxa" w:w="2736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Core writing/ethics course; professional or computing course; co-constructed policy example.</w:t>
            </w:r>
          </w:p>
        </w:tc>
        <w:tc>
          <w:tcPr>
            <w:tcW w:type="dxa" w:w="194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Test human-centered and ethical claims against disclosure, access, and independent judgment.</w:t>
            </w:r>
          </w:p>
        </w:tc>
      </w:tr>
      <w:tr>
        <w:trPr>
          <w:cantSplit/>
        </w:trPr>
        <w:tc>
          <w:tcPr>
            <w:tcW w:type="dxa" w:w="1656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3"/>
              </w:rPr>
              <w:t>Thomas Aquinas College</w:t>
            </w:r>
          </w:p>
        </w:tc>
        <w:tc>
          <w:tcPr>
            <w:tcW w:type="dxa" w:w="151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Private four-year college</w:t>
            </w:r>
          </w:p>
        </w:tc>
        <w:tc>
          <w:tcPr>
            <w:tcW w:type="dxa" w:w="266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C — Great Books/liberal education; seminar, tutorial, laboratory, composition; public AI and Human Flourishing symposium.</w:t>
            </w:r>
          </w:p>
        </w:tc>
        <w:tc>
          <w:tcPr>
            <w:tcW w:type="dxa" w:w="2736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Seminar; tutorial; laboratory; composition; senior thesis; AI symposium materials.</w:t>
            </w:r>
          </w:p>
        </w:tc>
        <w:tc>
          <w:tcPr>
            <w:tcW w:type="dxa" w:w="194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Determine how dialogic first-principles formation addresses AI without confusing an event with curriculum-wide policy.</w:t>
            </w:r>
          </w:p>
        </w:tc>
      </w:tr>
      <w:tr>
        <w:trPr>
          <w:cantSplit/>
        </w:trPr>
        <w:tc>
          <w:tcPr>
            <w:tcW w:type="dxa" w:w="1656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3"/>
              </w:rPr>
              <w:t>Mother of Divine Grace School</w:t>
            </w:r>
          </w:p>
        </w:tc>
        <w:tc>
          <w:tcPr>
            <w:tcW w:type="dxa" w:w="151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Private Catholic K–12 distance/home education</w:t>
            </w:r>
          </w:p>
        </w:tc>
        <w:tc>
          <w:tcPr>
            <w:tcW w:type="dxa" w:w="266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C — Classical method from wonder toward wisdom; parent-supported stages: K–2, 3–5, 6–9, 10–12. Public AI policy not established in baseline.</w:t>
            </w:r>
          </w:p>
        </w:tc>
        <w:tc>
          <w:tcPr>
            <w:tcW w:type="dxa" w:w="2736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K–2 narration/recitation; grades 3–5 memory and observation; grades 6–9 logic/composition; grades 10–12 rhetoric/Great Books; parent role.</w:t>
            </w:r>
          </w:p>
        </w:tc>
        <w:tc>
          <w:tcPr>
            <w:tcW w:type="dxa" w:w="194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Study developmental formation and family mediation; record AI as M unless an official policy is found. K–12 only.</w:t>
            </w:r>
          </w:p>
        </w:tc>
      </w:tr>
      <w:tr>
        <w:trPr>
          <w:cantSplit/>
        </w:trPr>
        <w:tc>
          <w:tcPr>
            <w:tcW w:type="dxa" w:w="1656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3"/>
              </w:rPr>
              <w:t>Harvard-Westlake School</w:t>
            </w:r>
          </w:p>
        </w:tc>
        <w:tc>
          <w:tcPr>
            <w:tcW w:type="dxa" w:w="151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Private grades 7–12</w:t>
            </w:r>
          </w:p>
        </w:tc>
        <w:tc>
          <w:tcPr>
            <w:tcW w:type="dxa" w:w="266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C — 2026–27 curriculum includes an ethics, technology, and society course in the age of AI; broader policy evidence still to capture.</w:t>
            </w:r>
          </w:p>
        </w:tc>
        <w:tc>
          <w:tcPr>
            <w:tcW w:type="dxa" w:w="2736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Middle-school writing/research task; upper-school AI ethics/technology course; senior independent study.</w:t>
            </w:r>
          </w:p>
        </w:tc>
        <w:tc>
          <w:tcPr>
            <w:tcW w:type="dxa" w:w="194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Compare AI literacy and ethics with unaided writing, discussion, research, and authorship.</w:t>
            </w:r>
          </w:p>
        </w:tc>
      </w:tr>
      <w:tr>
        <w:trPr>
          <w:cantSplit/>
        </w:trPr>
        <w:tc>
          <w:tcPr>
            <w:tcW w:type="dxa" w:w="1656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3"/>
              </w:rPr>
              <w:t>High Tech High</w:t>
            </w:r>
          </w:p>
        </w:tc>
        <w:tc>
          <w:tcPr>
            <w:tcW w:type="dxa" w:w="151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Public charter K–12 network</w:t>
            </w:r>
          </w:p>
        </w:tc>
        <w:tc>
          <w:tcPr>
            <w:tcW w:type="dxa" w:w="266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C — Board-approved AI policy referenced in records; teacher guidance; design-principle alignment; classroom examples; K–12 handbook reference.</w:t>
            </w:r>
          </w:p>
        </w:tc>
        <w:tc>
          <w:tcPr>
            <w:tcW w:type="dxa" w:w="2736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Elementary, middle, and high project/exhibition; AI-bias project; historical-figure design example; individual defense inside group work.</w:t>
            </w:r>
          </w:p>
        </w:tc>
        <w:tc>
          <w:tcPr>
            <w:tcW w:type="dxa" w:w="194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3"/>
              </w:rPr>
              <w:t>Test whether AI strengthens equity, personalization, authentic work, and collaboration while preserving individual mastery.</w:t>
            </w:r>
          </w:p>
        </w:tc>
      </w:tr>
    </w:tbl>
    <w:p>
      <w:pPr>
        <w:spacing w:after="0"/>
      </w:pPr>
    </w:p>
    <w:p>
      <w:pPr>
        <w:pStyle w:val="Heading1"/>
      </w:pPr>
      <w:r>
        <w:t>Case-file protocol</w:t>
      </w:r>
    </w:p>
    <w:p>
      <w:r>
        <w:t>For each selected review unit, construct one case file using the same sequence. The purpose is not to rank schools from website language; it is to connect claims, rules, learning activity, and independently demonstrated outcomes.</w:t>
      </w:r>
    </w:p>
    <w:p>
      <w:pPr>
        <w:pStyle w:val="ListBullet"/>
        <w:ind w:left="346" w:hanging="202"/>
      </w:pPr>
      <w:r>
        <w:t>1. Identify the educational aim and the student capacity the unit is intended to form.</w:t>
      </w:r>
    </w:p>
    <w:p>
      <w:pPr>
        <w:pStyle w:val="ListBullet"/>
        <w:ind w:left="346" w:hanging="202"/>
      </w:pPr>
      <w:r>
        <w:t>2. Record the assigned work before AI enters: reading, observation, memory, calculation, drafting, dialogue, experimentation, or practice.</w:t>
      </w:r>
    </w:p>
    <w:p>
      <w:pPr>
        <w:pStyle w:val="ListBullet"/>
        <w:ind w:left="346" w:hanging="202"/>
      </w:pPr>
      <w:r>
        <w:t>3. Code each stage H0, H1, S1, or S2 and record tool, purpose, disclosure, privacy, access, age/consent, and teacher oversight.</w:t>
      </w:r>
    </w:p>
    <w:p>
      <w:pPr>
        <w:pStyle w:val="ListBullet"/>
        <w:ind w:left="346" w:hanging="202"/>
      </w:pPr>
      <w:r>
        <w:t>4. Preserve the prompt, rubric, syllabus language, assessment format, revision history, and public student artifact where available.</w:t>
      </w:r>
    </w:p>
    <w:p>
      <w:pPr>
        <w:pStyle w:val="ListBullet"/>
        <w:ind w:left="346" w:hanging="202"/>
      </w:pPr>
      <w:r>
        <w:t>5. Identify a comparable protected task that shows what the learner can do after assistance ends.</w:t>
      </w:r>
    </w:p>
    <w:p>
      <w:pPr>
        <w:pStyle w:val="ListBullet"/>
        <w:ind w:left="346" w:hanging="202"/>
      </w:pPr>
      <w:r>
        <w:t>6. Record relationship effects: parent, teacher, peer, adviser, counselor, tutor, community expert, and audience contact.</w:t>
      </w:r>
    </w:p>
    <w:p>
      <w:pPr>
        <w:pStyle w:val="ListBullet"/>
        <w:ind w:left="346" w:hanging="202"/>
      </w:pPr>
      <w:r>
        <w:t>7. Rate evidence strength and note alternative explanations. Do not infer mental fitness, wellness, or causation from a policy page alone.</w:t>
      </w:r>
    </w:p>
    <w:p>
      <w:pPr>
        <w:pStyle w:val="Heading1"/>
      </w:pPr>
      <w:r>
        <w:t>COVID, family, friendship, and mental-fitness comparison</w:t>
      </w:r>
    </w:p>
    <w:p>
      <w:r>
        <w:t>COVID school closures should be a named historical period, not a footnote. They changed instructional access, parent burden, peer contact, teacher contact, digital exposure, routines, assessment, and the reliability of ordinary school records. The comparison should use pre-COVID, disruption, recovery, and AI-era windows where data permit.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3D9DD"/>
          <w:left w:val="single" w:sz="5" w:color="D3D9DD"/>
          <w:bottom w:val="single" w:sz="5" w:color="D3D9DD"/>
          <w:right w:val="single" w:sz="5" w:color="D3D9DD"/>
          <w:insideH w:val="single" w:sz="5" w:color="D3D9DD"/>
          <w:insideV w:val="single" w:sz="5" w:color="D3D9DD"/>
        </w:tblBorders>
      </w:tblPr>
      <w:tblGrid>
        <w:gridCol w:w="2613"/>
        <w:gridCol w:w="2613"/>
        <w:gridCol w:w="2613"/>
        <w:gridCol w:w="2613"/>
      </w:tblGrid>
      <w:tr>
        <w:trPr>
          <w:cantSplit/>
          <w:tblHeader w:val="true"/>
        </w:trPr>
        <w:tc>
          <w:tcPr>
            <w:tcW w:type="dxa" w:w="1512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5"/>
              </w:rPr>
              <w:t>Window</w:t>
            </w:r>
          </w:p>
        </w:tc>
        <w:tc>
          <w:tcPr>
            <w:tcW w:type="dxa" w:w="1512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5"/>
              </w:rPr>
              <w:t>Approximate period</w:t>
            </w:r>
          </w:p>
        </w:tc>
        <w:tc>
          <w:tcPr>
            <w:tcW w:type="dxa" w:w="4032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5"/>
              </w:rPr>
              <w:t>What to document</w:t>
            </w:r>
          </w:p>
        </w:tc>
        <w:tc>
          <w:tcPr>
            <w:tcW w:type="dxa" w:w="3456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5"/>
              </w:rPr>
              <w:t>Interpretive caution</w:t>
            </w:r>
          </w:p>
        </w:tc>
      </w:tr>
      <w:tr>
        <w:trPr>
          <w:cantSplit/>
        </w:trPr>
        <w:tc>
          <w:tcPr>
            <w:tcW w:type="dxa" w:w="151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4"/>
              </w:rPr>
              <w:t>Pre-COVID</w:t>
            </w:r>
          </w:p>
        </w:tc>
        <w:tc>
          <w:tcPr>
            <w:tcW w:type="dxa" w:w="151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Before spring 2020</w:t>
            </w:r>
          </w:p>
        </w:tc>
        <w:tc>
          <w:tcPr>
            <w:tcW w:type="dxa" w:w="403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Attendance, achievement, belonging, counseling/help-seeking, family routines, device use, and instructional format.</w:t>
            </w:r>
          </w:p>
        </w:tc>
        <w:tc>
          <w:tcPr>
            <w:tcW w:type="dxa" w:w="3456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Historical measures and populations may not be directly comparable.</w:t>
            </w:r>
          </w:p>
        </w:tc>
      </w:tr>
      <w:tr>
        <w:trPr>
          <w:cantSplit/>
        </w:trPr>
        <w:tc>
          <w:tcPr>
            <w:tcW w:type="dxa" w:w="151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4"/>
              </w:rPr>
              <w:t>Disruption</w:t>
            </w:r>
          </w:p>
        </w:tc>
        <w:tc>
          <w:tcPr>
            <w:tcW w:type="dxa" w:w="151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2020–2021, locally defined</w:t>
            </w:r>
          </w:p>
        </w:tc>
        <w:tc>
          <w:tcPr>
            <w:tcW w:type="dxa" w:w="403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Closure duration, synchronous/asynchronous access, parent teaching burden, lost instruction, isolation, grief, economic stress, and special-needs services.</w:t>
            </w:r>
          </w:p>
        </w:tc>
        <w:tc>
          <w:tcPr>
            <w:tcW w:type="dxa" w:w="3456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Exposure varied sharply by institution, household, age, disability, and local rules.</w:t>
            </w:r>
          </w:p>
        </w:tc>
      </w:tr>
      <w:tr>
        <w:trPr>
          <w:cantSplit/>
        </w:trPr>
        <w:tc>
          <w:tcPr>
            <w:tcW w:type="dxa" w:w="151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4"/>
              </w:rPr>
              <w:t>Recovery</w:t>
            </w:r>
          </w:p>
        </w:tc>
        <w:tc>
          <w:tcPr>
            <w:tcW w:type="dxa" w:w="151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2021–2022/23</w:t>
            </w:r>
          </w:p>
        </w:tc>
        <w:tc>
          <w:tcPr>
            <w:tcW w:type="dxa" w:w="4032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Return mode, unfinished learning, attendance, behavior, friendship repair, counseling demand, teacher turnover, and family strain.</w:t>
            </w:r>
          </w:p>
        </w:tc>
        <w:tc>
          <w:tcPr>
            <w:tcW w:type="dxa" w:w="3456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Recovery timing differs; avoid a single statewide cutoff when local evidence exists.</w:t>
            </w:r>
          </w:p>
        </w:tc>
      </w:tr>
      <w:tr>
        <w:trPr>
          <w:cantSplit/>
        </w:trPr>
        <w:tc>
          <w:tcPr>
            <w:tcW w:type="dxa" w:w="151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4"/>
              </w:rPr>
              <w:t>AI era</w:t>
            </w:r>
          </w:p>
        </w:tc>
        <w:tc>
          <w:tcPr>
            <w:tcW w:type="dxa" w:w="151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Late 2022 onward</w:t>
            </w:r>
          </w:p>
        </w:tc>
        <w:tc>
          <w:tcPr>
            <w:tcW w:type="dxa" w:w="4032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AI access and rules, assessment redesign, attention and effort patterns, authorship, trust, workload, relationships, and independent transfer.</w:t>
            </w:r>
          </w:p>
        </w:tc>
        <w:tc>
          <w:tcPr>
            <w:tcW w:type="dxa" w:w="3456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4"/>
              </w:rPr>
              <w:t>Do not attribute persistent COVID effects to AI or AI effects to COVID without a defensible design.</w:t>
            </w:r>
          </w:p>
        </w:tc>
      </w:tr>
    </w:tbl>
    <w:p>
      <w:pPr>
        <w:spacing w:after="0"/>
      </w:pPr>
    </w:p>
    <w:p>
      <w:r>
        <w:t>Mental fitness should be operationalized as observable capacities—not a diagnosis: sustained attention, frustration tolerance, self-regulation, memory, reasoning persistence, confidence calibrated to performance, help-seeking, recovery after error, and capacity for friendship and cooperative work. Any clinical mental-health measure requires validated instruments, privacy protection, consent, and qualified interpretation.</w:t>
      </w:r>
    </w:p>
    <w:p>
      <w:pPr>
        <w:pStyle w:val="Heading1"/>
      </w:pPr>
      <w:r>
        <w:t>Baseline findings</w:t>
      </w:r>
    </w:p>
    <w:p>
      <w:pPr>
        <w:pStyle w:val="ListBullet"/>
        <w:ind w:left="346" w:hanging="202"/>
      </w:pPr>
      <w:r>
        <w:t>The public and private institutions are comparable only through common formation questions; their missions, ages, governance, delivery models, and evidence availability differ materially.</w:t>
      </w:r>
    </w:p>
    <w:p>
      <w:pPr>
        <w:pStyle w:val="ListBullet"/>
        <w:ind w:left="346" w:hanging="202"/>
      </w:pPr>
      <w:r>
        <w:t>Several universities publish mature AI guidance, tools, training, and course-level discretion. This demonstrates governance activity, not student learning by itself.</w:t>
      </w:r>
    </w:p>
    <w:p>
      <w:pPr>
        <w:pStyle w:val="ListBullet"/>
        <w:ind w:left="346" w:hanging="202"/>
      </w:pPr>
      <w:r>
        <w:t>Caltech supplies an unusually useful public course case because it connects AI permission, writing practice, disclosure, and instructor reflection; it still requires independent-outcome evidence.</w:t>
      </w:r>
    </w:p>
    <w:p>
      <w:pPr>
        <w:pStyle w:val="ListBullet"/>
        <w:ind w:left="346" w:hanging="202"/>
      </w:pPr>
      <w:r>
        <w:t>Thomas Aquinas College publicly frames AI through human flourishing and first principles. The event should be studied alongside—not substituted for—its standing curriculum and assessment practice.</w:t>
      </w:r>
    </w:p>
    <w:p>
      <w:pPr>
        <w:pStyle w:val="ListBullet"/>
        <w:ind w:left="346" w:hanging="202"/>
      </w:pPr>
      <w:r>
        <w:t>Mother of Divine Grace supplies a detailed developmental account of forming the mind across K through 12. No institution-wide public AI position was established in this baseline, so the investigation should preserve that as a gap.</w:t>
      </w:r>
    </w:p>
    <w:p>
      <w:pPr>
        <w:pStyle w:val="ListBullet"/>
        <w:ind w:left="346" w:hanging="202"/>
      </w:pPr>
      <w:r>
        <w:t>High Tech High has a board-referenced AI policy and classroom examples tied to its design principles. The actual policy text, annual review, grade-level implementation, and independent mastery are priority captures.</w:t>
      </w:r>
    </w:p>
    <w:p>
      <w:pPr>
        <w:pStyle w:val="ListBullet"/>
        <w:ind w:left="346" w:hanging="202"/>
      </w:pPr>
      <w:r>
        <w:t>A reliable comparison needs protected human-performance evidence. AI availability, polished artifacts, and policy sophistication cannot substitute for what students can explain or do independently.</w:t>
      </w:r>
    </w:p>
    <w:p>
      <w:pPr>
        <w:pStyle w:val="Heading1"/>
      </w:pPr>
      <w:r>
        <w:t>Priority gaps and next-phase capture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3D9DD"/>
          <w:left w:val="single" w:sz="5" w:color="D3D9DD"/>
          <w:bottom w:val="single" w:sz="5" w:color="D3D9DD"/>
          <w:right w:val="single" w:sz="5" w:color="D3D9DD"/>
          <w:insideH w:val="single" w:sz="5" w:color="D3D9DD"/>
          <w:insideV w:val="single" w:sz="5" w:color="D3D9DD"/>
        </w:tblBorders>
      </w:tblPr>
      <w:tblGrid>
        <w:gridCol w:w="3485"/>
        <w:gridCol w:w="3485"/>
        <w:gridCol w:w="3485"/>
      </w:tblGrid>
      <w:tr>
        <w:trPr>
          <w:cantSplit/>
          <w:tblHeader w:val="true"/>
        </w:trPr>
        <w:tc>
          <w:tcPr>
            <w:tcW w:type="dxa" w:w="1080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5"/>
              </w:rPr>
              <w:t>Priority</w:t>
            </w:r>
          </w:p>
        </w:tc>
        <w:tc>
          <w:tcPr>
            <w:tcW w:type="dxa" w:w="6264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5"/>
              </w:rPr>
              <w:t>Needed evidence</w:t>
            </w:r>
          </w:p>
        </w:tc>
        <w:tc>
          <w:tcPr>
            <w:tcW w:type="dxa" w:w="3168"/>
            <w:shd w:fill="173A52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5"/>
              </w:rPr>
              <w:t>Disposition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1</w:t>
            </w:r>
          </w:p>
        </w:tc>
        <w:tc>
          <w:tcPr>
            <w:tcW w:type="dxa" w:w="626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Exact institution-wide and unit-level AI policy texts, revision dates, approved tools, privacy rules, and age/consent requirements.</w:t>
            </w:r>
          </w:p>
        </w:tc>
        <w:tc>
          <w:tcPr>
            <w:tcW w:type="dxa" w:w="3168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Archive official copy; compare monthly for material change.</w:t>
            </w:r>
          </w:p>
        </w:tc>
      </w:tr>
      <w:tr>
        <w:trPr>
          <w:cantSplit/>
        </w:trPr>
        <w:tc>
          <w:tcPr>
            <w:tcW w:type="dxa" w:w="1080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2</w:t>
            </w:r>
          </w:p>
        </w:tc>
        <w:tc>
          <w:tcPr>
            <w:tcW w:type="dxa" w:w="626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Representative assignment, rubric, permitted-use statement, student artifact, and protected follow-up assessment for each case.</w:t>
            </w:r>
          </w:p>
        </w:tc>
        <w:tc>
          <w:tcPr>
            <w:tcW w:type="dxa" w:w="3168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Build institution case files from public evidence.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3</w:t>
            </w:r>
          </w:p>
        </w:tc>
        <w:tc>
          <w:tcPr>
            <w:tcW w:type="dxa" w:w="626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Implementation evidence showing how faculty, teachers, parents, and students understand and apply the rule.</w:t>
            </w:r>
          </w:p>
        </w:tc>
        <w:tc>
          <w:tcPr>
            <w:tcW w:type="dxa" w:w="3168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Use published training, FAQs, minutes, evaluations, and studies; label gaps.</w:t>
            </w:r>
          </w:p>
        </w:tc>
      </w:tr>
      <w:tr>
        <w:trPr>
          <w:cantSplit/>
        </w:trPr>
        <w:tc>
          <w:tcPr>
            <w:tcW w:type="dxa" w:w="1080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4</w:t>
            </w:r>
          </w:p>
        </w:tc>
        <w:tc>
          <w:tcPr>
            <w:tcW w:type="dxa" w:w="6264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Pre-COVID through AI-era indicators for learning, attendance, belonging, family burden, friendship, attention, and support use.</w:t>
            </w:r>
          </w:p>
        </w:tc>
        <w:tc>
          <w:tcPr>
            <w:tcW w:type="dxa" w:w="3168"/>
            <w:shd w:fill="F7F8F9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Use comparable institutional, state, and validated research sources.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/>
                <w:sz w:val="15"/>
              </w:rPr>
              <w:t>5</w:t>
            </w:r>
          </w:p>
        </w:tc>
        <w:tc>
          <w:tcPr>
            <w:tcW w:type="dxa" w:w="6264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Evidence of independent transfer after AI-supported work.</w:t>
            </w:r>
          </w:p>
        </w:tc>
        <w:tc>
          <w:tcPr>
            <w:tcW w:type="dxa" w:w="3168"/>
            <w:tcMar>
              <w:top w:w="55" w:type="dxa"/>
              <w:start w:w="70" w:type="dxa"/>
              <w:bottom w:w="55" w:type="dxa"/>
              <w:end w:w="70" w:type="dxa"/>
            </w:tcMar>
            <w:vAlign w:val="top"/>
          </w:tcPr>
          <w:p>
            <w:pPr>
              <w:jc w:val="left"/>
            </w:pPr>
            <w:r>
              <w:rPr>
                <w:b w:val="0"/>
                <w:sz w:val="15"/>
              </w:rPr>
              <w:t>Treat as the central outcome; do not infer from final-product quality.</w:t>
            </w:r>
          </w:p>
        </w:tc>
      </w:tr>
    </w:tbl>
    <w:p>
      <w:pPr>
        <w:spacing w:after="0"/>
      </w:pPr>
    </w:p>
    <w:p>
      <w:pPr>
        <w:pStyle w:val="Heading1"/>
      </w:pPr>
      <w:r>
        <w:t>Official public source register</w:t>
      </w:r>
    </w:p>
    <w:p>
      <w:pPr>
        <w:spacing w:after="40"/>
      </w:pPr>
      <w:r>
        <w:rPr>
          <w:b/>
        </w:rPr>
        <w:t xml:space="preserve">UC Berkeley — </w:t>
      </w:r>
      <w:hyperlink r:id="rId9">
        <w:r>
          <w:rPr>
            <w:color w:val="2B5370"/>
            <w:u w:val="single"/>
          </w:rPr>
          <w:t>AI Hub — Teaching</w:t>
        </w:r>
      </w:hyperlink>
    </w:p>
    <w:p>
      <w:pPr>
        <w:spacing w:after="40"/>
      </w:pPr>
      <w:r>
        <w:rPr>
          <w:b/>
        </w:rPr>
        <w:t xml:space="preserve">UC Berkeley — </w:t>
      </w:r>
      <w:hyperlink r:id="rId10">
        <w:r>
          <w:rPr>
            <w:color w:val="2B5370"/>
            <w:u w:val="single"/>
          </w:rPr>
          <w:t>Center for Teaching &amp; Learning — AI in Teaching &amp; Learning</w:t>
        </w:r>
      </w:hyperlink>
    </w:p>
    <w:p>
      <w:pPr>
        <w:spacing w:after="40"/>
      </w:pPr>
      <w:r>
        <w:rPr>
          <w:b/>
        </w:rPr>
        <w:t xml:space="preserve">UCLA — </w:t>
      </w:r>
      <w:hyperlink r:id="rId11">
        <w:r>
          <w:rPr>
            <w:color w:val="2B5370"/>
            <w:u w:val="single"/>
          </w:rPr>
          <w:t>Generative AI in Teaching and Learning</w:t>
        </w:r>
      </w:hyperlink>
    </w:p>
    <w:p>
      <w:pPr>
        <w:spacing w:after="40"/>
      </w:pPr>
      <w:r>
        <w:rPr>
          <w:b/>
        </w:rPr>
        <w:t xml:space="preserve">Stanford — </w:t>
      </w:r>
      <w:hyperlink r:id="rId12">
        <w:r>
          <w:rPr>
            <w:color w:val="2B5370"/>
            <w:u w:val="single"/>
          </w:rPr>
          <w:t>AI Learning Guide for Students</w:t>
        </w:r>
      </w:hyperlink>
    </w:p>
    <w:p>
      <w:pPr>
        <w:spacing w:after="40"/>
      </w:pPr>
      <w:r>
        <w:rPr>
          <w:b/>
        </w:rPr>
        <w:t xml:space="preserve">Stanford — </w:t>
      </w:r>
      <w:hyperlink r:id="rId13">
        <w:r>
          <w:rPr>
            <w:color w:val="2B5370"/>
            <w:u w:val="single"/>
          </w:rPr>
          <w:t>Creating Your Course Policy on AI</w:t>
        </w:r>
      </w:hyperlink>
    </w:p>
    <w:p>
      <w:pPr>
        <w:spacing w:after="40"/>
      </w:pPr>
      <w:r>
        <w:rPr>
          <w:b/>
        </w:rPr>
        <w:t xml:space="preserve">USC — </w:t>
      </w:r>
      <w:hyperlink r:id="rId14">
        <w:r>
          <w:rPr>
            <w:color w:val="2B5370"/>
            <w:u w:val="single"/>
          </w:rPr>
          <w:t>Faculty Guidance: ChatGPT Edu rollout</w:t>
        </w:r>
      </w:hyperlink>
    </w:p>
    <w:p>
      <w:pPr>
        <w:spacing w:after="40"/>
      </w:pPr>
      <w:r>
        <w:rPr>
          <w:b/>
        </w:rPr>
        <w:t xml:space="preserve">USC — </w:t>
      </w:r>
      <w:hyperlink r:id="rId15">
        <w:r>
          <w:rPr>
            <w:color w:val="2B5370"/>
            <w:u w:val="single"/>
          </w:rPr>
          <w:t>ChatGPT EDU at USC</w:t>
        </w:r>
      </w:hyperlink>
    </w:p>
    <w:p>
      <w:pPr>
        <w:spacing w:after="40"/>
      </w:pPr>
      <w:r>
        <w:rPr>
          <w:b/>
        </w:rPr>
        <w:t xml:space="preserve">Caltech — </w:t>
      </w:r>
      <w:hyperlink r:id="rId16">
        <w:r>
          <w:rPr>
            <w:color w:val="2B5370"/>
            <w:u w:val="single"/>
          </w:rPr>
          <w:t>AI in Teaching</w:t>
        </w:r>
      </w:hyperlink>
    </w:p>
    <w:p>
      <w:pPr>
        <w:spacing w:after="40"/>
      </w:pPr>
      <w:r>
        <w:rPr>
          <w:b/>
        </w:rPr>
        <w:t xml:space="preserve">Caltech — </w:t>
      </w:r>
      <w:hyperlink r:id="rId17">
        <w:r>
          <w:rPr>
            <w:color w:val="2B5370"/>
            <w:u w:val="single"/>
          </w:rPr>
          <w:t>Teaching Ethics &amp; AI in the Wake of ChatGPT</w:t>
        </w:r>
      </w:hyperlink>
    </w:p>
    <w:p>
      <w:pPr>
        <w:spacing w:after="40"/>
      </w:pPr>
      <w:r>
        <w:rPr>
          <w:b/>
        </w:rPr>
        <w:t xml:space="preserve">LMU — </w:t>
      </w:r>
      <w:hyperlink r:id="rId18">
        <w:r>
          <w:rPr>
            <w:color w:val="2B5370"/>
            <w:u w:val="single"/>
          </w:rPr>
          <w:t>AI in Teaching &amp; Learning</w:t>
        </w:r>
      </w:hyperlink>
    </w:p>
    <w:p>
      <w:pPr>
        <w:spacing w:after="40"/>
      </w:pPr>
      <w:r>
        <w:rPr>
          <w:b/>
        </w:rPr>
        <w:t xml:space="preserve">Thomas Aquinas College — </w:t>
      </w:r>
      <w:hyperlink r:id="rId19">
        <w:r>
          <w:rPr>
            <w:color w:val="2B5370"/>
            <w:u w:val="single"/>
          </w:rPr>
          <w:t>AI &amp; Human Flourishing</w:t>
        </w:r>
      </w:hyperlink>
    </w:p>
    <w:p>
      <w:pPr>
        <w:spacing w:after="40"/>
      </w:pPr>
      <w:r>
        <w:rPr>
          <w:b/>
        </w:rPr>
        <w:t xml:space="preserve">Thomas Aquinas College — </w:t>
      </w:r>
      <w:hyperlink r:id="rId20">
        <w:r>
          <w:rPr>
            <w:color w:val="2B5370"/>
            <w:u w:val="single"/>
          </w:rPr>
          <w:t>Order of Learning</w:t>
        </w:r>
      </w:hyperlink>
    </w:p>
    <w:p>
      <w:pPr>
        <w:spacing w:after="40"/>
      </w:pPr>
      <w:r>
        <w:rPr>
          <w:b/>
        </w:rPr>
        <w:t xml:space="preserve">Mother of Divine Grace — </w:t>
      </w:r>
      <w:hyperlink r:id="rId21">
        <w:r>
          <w:rPr>
            <w:color w:val="2B5370"/>
            <w:u w:val="single"/>
          </w:rPr>
          <w:t>Curriculum Methodology</w:t>
        </w:r>
      </w:hyperlink>
    </w:p>
    <w:p>
      <w:pPr>
        <w:spacing w:after="40"/>
      </w:pPr>
      <w:r>
        <w:rPr>
          <w:b/>
        </w:rPr>
        <w:t xml:space="preserve">Mother of Divine Grace — </w:t>
      </w:r>
      <w:hyperlink r:id="rId22">
        <w:r>
          <w:rPr>
            <w:color w:val="2B5370"/>
            <w:u w:val="single"/>
          </w:rPr>
          <w:t>Curriculum Content and Stages</w:t>
        </w:r>
      </w:hyperlink>
    </w:p>
    <w:p>
      <w:pPr>
        <w:spacing w:after="40"/>
      </w:pPr>
      <w:r>
        <w:rPr>
          <w:b/>
        </w:rPr>
        <w:t xml:space="preserve">Harvard-Westlake — </w:t>
      </w:r>
      <w:hyperlink r:id="rId23">
        <w:r>
          <w:rPr>
            <w:color w:val="2B5370"/>
            <w:u w:val="single"/>
          </w:rPr>
          <w:t>Course Descriptions / 2026–27 Curriculum Guide</w:t>
        </w:r>
      </w:hyperlink>
    </w:p>
    <w:p>
      <w:pPr>
        <w:spacing w:after="40"/>
      </w:pPr>
      <w:r>
        <w:rPr>
          <w:b/>
        </w:rPr>
        <w:t xml:space="preserve">High Tech High — </w:t>
      </w:r>
      <w:hyperlink r:id="rId24">
        <w:r>
          <w:rPr>
            <w:color w:val="2B5370"/>
            <w:u w:val="single"/>
          </w:rPr>
          <w:t>Design Principles and School Model</w:t>
        </w:r>
      </w:hyperlink>
    </w:p>
    <w:p>
      <w:pPr>
        <w:spacing w:after="40"/>
      </w:pPr>
      <w:r>
        <w:rPr>
          <w:b/>
        </w:rPr>
        <w:t xml:space="preserve">High Tech High — </w:t>
      </w:r>
      <w:hyperlink r:id="rId25">
        <w:r>
          <w:rPr>
            <w:color w:val="2B5370"/>
            <w:u w:val="single"/>
          </w:rPr>
          <w:t>2025–26 Student &amp; Parent Handbook</w:t>
        </w:r>
      </w:hyperlink>
    </w:p>
    <w:p>
      <w:r>
        <w:t>Source note: all entries were accessed for this baseline on September 12, 2026. A live page may change after access. The archive record should retain the retrieved version and record later changes rather than silently replacing the baseline.</w:t>
      </w:r>
    </w:p>
    <w:p>
      <w:pPr>
        <w:pStyle w:val="Heading1"/>
      </w:pPr>
      <w:r>
        <w:t>Phase Eight handoff</w:t>
      </w:r>
    </w:p>
    <w:p>
      <w:r>
        <w:t>The next phase should build ten institution case files, beginning with one high-information review unit per institution. Each file should preserve the source set, map the AI condition, identify a protected human-performance measure, capture COVID/recovery context where relevant, and state what remains unknown. The monthly policy monitor should update the change log but should not overwrite this dated baseline.</w:t>
      </w:r>
    </w:p>
    <w:sectPr w:rsidR="00FC693F" w:rsidRPr="0006063C" w:rsidSect="00034616">
      <w:pgSz w:w="12240" w:h="15840"/>
      <w:pgMar w:top="922" w:right="893" w:bottom="893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4" w:line="247" w:lineRule="auto"/>
    </w:pPr>
    <w:rPr>
      <w:rFonts w:ascii="Aptos" w:hAnsi="Aptos"/>
      <w:color w:val="3036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4"/>
      <w:contextualSpacing/>
    </w:pPr>
    <w:rPr>
      <w:rFonts w:ascii="Aptos" w:hAnsi="Aptos"/>
      <w:sz w:val="17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i.berkeley.edu/teaching" TargetMode="External"/><Relationship Id="rId10" Type="http://schemas.openxmlformats.org/officeDocument/2006/relationships/hyperlink" Target="https://teaching.berkeley.edu/teaching-guides-resources/ai-teaching-learning" TargetMode="External"/><Relationship Id="rId11" Type="http://schemas.openxmlformats.org/officeDocument/2006/relationships/hyperlink" Target="https://teaching.ucla.edu/special-initiatives/generative-ai-in-teaching-learning/" TargetMode="External"/><Relationship Id="rId12" Type="http://schemas.openxmlformats.org/officeDocument/2006/relationships/hyperlink" Target="https://ctl.stanford.edu/aimes/ai-learning-guide-students" TargetMode="External"/><Relationship Id="rId13" Type="http://schemas.openxmlformats.org/officeDocument/2006/relationships/hyperlink" Target="https://teachingcommons.stanford.edu/teaching-guides/artificial-intelligence-teaching-guide/creating-your-course-policy-ai" TargetMode="External"/><Relationship Id="rId14" Type="http://schemas.openxmlformats.org/officeDocument/2006/relationships/hyperlink" Target="https://www.provost.usc.edu/faculty-guidance-chatgpt-edu-spring-2026/" TargetMode="External"/><Relationship Id="rId15" Type="http://schemas.openxmlformats.org/officeDocument/2006/relationships/hyperlink" Target="https://itservices.usc.edu/ai/chatgpt-edu-at-usc/" TargetMode="External"/><Relationship Id="rId16" Type="http://schemas.openxmlformats.org/officeDocument/2006/relationships/hyperlink" Target="https://aiinteaching.caltech.edu/" TargetMode="External"/><Relationship Id="rId17" Type="http://schemas.openxmlformats.org/officeDocument/2006/relationships/hyperlink" Target="https://techpolicy.caltech.edu/2024/01/24/teaching-ethics-ai-in-the-wake-of-chatgpt/" TargetMode="External"/><Relationship Id="rId18" Type="http://schemas.openxmlformats.org/officeDocument/2006/relationships/hyperlink" Target="https://academics.lmu.edu/cfd/resources/teachinghub/aiinteachinglearning/" TargetMode="External"/><Relationship Id="rId19" Type="http://schemas.openxmlformats.org/officeDocument/2006/relationships/hyperlink" Target="https://www.thomasaquinas.edu/ai" TargetMode="External"/><Relationship Id="rId20" Type="http://schemas.openxmlformats.org/officeDocument/2006/relationships/hyperlink" Target="https://www.thomasaquinas.edu/a-liberating-education/about/seminal-documents/order-learning" TargetMode="External"/><Relationship Id="rId21" Type="http://schemas.openxmlformats.org/officeDocument/2006/relationships/hyperlink" Target="https://modg.org/curriculum/methodology" TargetMode="External"/><Relationship Id="rId22" Type="http://schemas.openxmlformats.org/officeDocument/2006/relationships/hyperlink" Target="https://modg.org/curriculum/methodologycontent" TargetMode="External"/><Relationship Id="rId23" Type="http://schemas.openxmlformats.org/officeDocument/2006/relationships/hyperlink" Target="https://www.hw.com/academics/About-the-Curriculum/Course-Descriptions" TargetMode="External"/><Relationship Id="rId24" Type="http://schemas.openxmlformats.org/officeDocument/2006/relationships/hyperlink" Target="https://www.hightechhigh.org/about/" TargetMode="External"/><Relationship Id="rId25" Type="http://schemas.openxmlformats.org/officeDocument/2006/relationships/hyperlink" Target="https://www.hightechhigh.org/hthma/wp-content/uploads/sites/23/2025/09/2025-26-HTH-Student-Handbook_Revised-June-17-2025.docx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