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Public Education Systems Audit</w:t>
      </w:r>
    </w:p>
    <w:p>
      <w:pPr>
        <w:pStyle w:val="Subtitle"/>
      </w:pPr>
      <w:r>
        <w:t>Human formation and artificial intelligence across kindergarten through university</w:t>
      </w:r>
    </w:p>
    <w:p>
      <w:r>
        <w:t>California Department of Education  |  California Community Colleges  |  California State University  |  University of California  |  September 2026</w:t>
      </w:r>
    </w:p>
    <w:p>
      <w:pPr>
        <w:pStyle w:val="Title"/>
      </w:pPr>
      <w:r>
        <w:t>Finding</w:t>
      </w:r>
    </w:p>
    <w:p>
      <w:r>
        <w:t>California’s four principal public education systems have moved beyond ignoring artificial intelligence. Each now acknowledges risks to privacy, academic integrity, equity, authorship, and human judgment. The California Department of Education has produced the most explicit school-level model policy; the California Community Colleges use the clearest systemwide language that technology should amplify rather than replace human capacity; the California State University has pursued the broadest immediate access strategy; and the University of California has produced the strongest faculty-led analysis of agency, intellectual work, trustworthiness, and the right to refuse AI.</w:t>
      </w:r>
    </w:p>
    <w:p>
      <w:r>
        <w:t>Yet none currently demonstrates a complete public model for developing a well-formed mind. Their strongest documents are frameworks, recommendations, pilots, access programs, or governance principles. The systems generally do not require a common definition of the human capacities education must protect, a verified baseline of unaided student performance, or comparable evidence that AI improves knowledge and judgment rather than convenience and output.</w:t>
      </w:r>
    </w:p>
    <w:p>
      <w:pPr>
        <w:pStyle w:val="Heading1"/>
      </w:pPr>
      <w:r>
        <w:t>The structural problem</w:t>
      </w:r>
    </w:p>
    <w:p>
      <w:r>
        <w:t>Public systems divide authority among state officials, governing boards, system offices, campuses, academic senates, faculty, districts, schools, vendors, families, and students. This distribution can protect local judgment and academic freedom. It can also disperse responsibility so thoroughly that no actor is accountable for the full formative outcome.</w:t>
      </w:r>
    </w:p>
    <w:tbl>
      <w:tblPr>
        <w:tblStyle w:val="TableGrid"/>
        <w:tblW w:type="auto" w:w="0"/>
        <w:jc w:val="center"/>
        <w:tblLook w:firstColumn="1" w:firstRow="1" w:lastColumn="0" w:lastRow="0" w:noHBand="0" w:noVBand="1" w:val="04A0"/>
      </w:tblPr>
      <w:tblGrid>
        <w:gridCol w:w="2498"/>
        <w:gridCol w:w="2498"/>
        <w:gridCol w:w="2498"/>
        <w:gridCol w:w="2498"/>
      </w:tblGrid>
      <w:tr>
        <w:trPr>
          <w:tblHeader w:val="true"/>
        </w:trPr>
        <w:tc>
          <w:tcPr>
            <w:tcW w:type="dxa" w:w="2232"/>
            <w:shd w:fill="17324D"/>
            <w:tcMar>
              <w:top w:w="105" w:type="dxa"/>
              <w:start w:w="105" w:type="dxa"/>
              <w:bottom w:w="105" w:type="dxa"/>
              <w:end w:w="105" w:type="dxa"/>
            </w:tcMar>
          </w:tcPr>
          <w:p>
            <w:r>
              <w:rPr>
                <w:b/>
                <w:color w:val="FFFFFF"/>
                <w:sz w:val="17"/>
              </w:rPr>
              <w:t>System</w:t>
            </w:r>
          </w:p>
        </w:tc>
        <w:tc>
          <w:tcPr>
            <w:tcW w:type="dxa" w:w="3528"/>
            <w:shd w:fill="17324D"/>
            <w:tcMar>
              <w:top w:w="105" w:type="dxa"/>
              <w:start w:w="105" w:type="dxa"/>
              <w:bottom w:w="105" w:type="dxa"/>
              <w:end w:w="105" w:type="dxa"/>
            </w:tcMar>
          </w:tcPr>
          <w:p>
            <w:r>
              <w:rPr>
                <w:b/>
                <w:color w:val="FFFFFF"/>
                <w:sz w:val="17"/>
              </w:rPr>
              <w:t>Primary role</w:t>
            </w:r>
          </w:p>
        </w:tc>
        <w:tc>
          <w:tcPr>
            <w:tcW w:type="dxa" w:w="3168"/>
            <w:shd w:fill="17324D"/>
            <w:tcMar>
              <w:top w:w="105" w:type="dxa"/>
              <w:start w:w="105" w:type="dxa"/>
              <w:bottom w:w="105" w:type="dxa"/>
              <w:end w:w="105" w:type="dxa"/>
            </w:tcMar>
          </w:tcPr>
          <w:p>
            <w:r>
              <w:rPr>
                <w:b/>
                <w:color w:val="FFFFFF"/>
                <w:sz w:val="17"/>
              </w:rPr>
              <w:t>AI posture</w:t>
            </w:r>
          </w:p>
        </w:tc>
        <w:tc>
          <w:tcPr>
            <w:tcW w:type="dxa" w:w="2016"/>
            <w:shd w:fill="17324D"/>
            <w:tcMar>
              <w:top w:w="105" w:type="dxa"/>
              <w:start w:w="105" w:type="dxa"/>
              <w:bottom w:w="105" w:type="dxa"/>
              <w:end w:w="105" w:type="dxa"/>
            </w:tcMar>
          </w:tcPr>
          <w:p>
            <w:r>
              <w:rPr>
                <w:b/>
                <w:color w:val="FFFFFF"/>
                <w:sz w:val="17"/>
              </w:rPr>
              <w:t>Central limitation</w:t>
            </w:r>
          </w:p>
        </w:tc>
      </w:tr>
      <w:tr>
        <w:tc>
          <w:tcPr>
            <w:tcW w:type="dxa" w:w="2232"/>
            <w:vAlign w:val="center"/>
            <w:tcMar>
              <w:top w:w="105" w:type="dxa"/>
              <w:start w:w="105" w:type="dxa"/>
              <w:bottom w:w="105" w:type="dxa"/>
              <w:end w:w="105" w:type="dxa"/>
            </w:tcMar>
          </w:tcPr>
          <w:p>
            <w:r>
              <w:rPr>
                <w:sz w:val="17"/>
              </w:rPr>
              <w:t>California Department of Education</w:t>
            </w:r>
          </w:p>
        </w:tc>
        <w:tc>
          <w:tcPr>
            <w:tcW w:type="dxa" w:w="3528"/>
            <w:vAlign w:val="center"/>
            <w:tcMar>
              <w:top w:w="105" w:type="dxa"/>
              <w:start w:w="105" w:type="dxa"/>
              <w:bottom w:w="105" w:type="dxa"/>
              <w:end w:w="105" w:type="dxa"/>
            </w:tcMar>
          </w:tcPr>
          <w:p>
            <w:r>
              <w:rPr>
                <w:sz w:val="17"/>
              </w:rPr>
              <w:t>State guidance for transitional kindergarten through grade twelve; standards, resources, and model policy.</w:t>
            </w:r>
          </w:p>
        </w:tc>
        <w:tc>
          <w:tcPr>
            <w:tcW w:type="dxa" w:w="3168"/>
            <w:vAlign w:val="center"/>
            <w:tcMar>
              <w:top w:w="105" w:type="dxa"/>
              <w:start w:w="105" w:type="dxa"/>
              <w:bottom w:w="105" w:type="dxa"/>
              <w:end w:w="105" w:type="dxa"/>
            </w:tcMar>
          </w:tcPr>
          <w:p>
            <w:r>
              <w:rPr>
                <w:sz w:val="17"/>
              </w:rPr>
              <w:t>Human-centered, age-aware, privacy and integrity focused; local adoption remains voluntary.</w:t>
            </w:r>
          </w:p>
        </w:tc>
        <w:tc>
          <w:tcPr>
            <w:tcW w:type="dxa" w:w="2016"/>
            <w:vAlign w:val="center"/>
            <w:tcMar>
              <w:top w:w="105" w:type="dxa"/>
              <w:start w:w="105" w:type="dxa"/>
              <w:bottom w:w="105" w:type="dxa"/>
              <w:end w:w="105" w:type="dxa"/>
            </w:tcMar>
          </w:tcPr>
          <w:p>
            <w:r>
              <w:rPr>
                <w:sz w:val="17"/>
              </w:rPr>
              <w:t>Cannot show implementation merely by publishing guidance.</w:t>
            </w:r>
          </w:p>
        </w:tc>
      </w:tr>
      <w:tr>
        <w:tc>
          <w:tcPr>
            <w:tcW w:type="dxa" w:w="2232"/>
            <w:vAlign w:val="center"/>
            <w:tcMar>
              <w:top w:w="105" w:type="dxa"/>
              <w:start w:w="105" w:type="dxa"/>
              <w:bottom w:w="105" w:type="dxa"/>
              <w:end w:w="105" w:type="dxa"/>
            </w:tcMar>
            <w:shd w:fill="F3F6F8"/>
          </w:tcPr>
          <w:p>
            <w:r>
              <w:rPr>
                <w:sz w:val="17"/>
              </w:rPr>
              <w:t>California Community Colleges</w:t>
            </w:r>
          </w:p>
        </w:tc>
        <w:tc>
          <w:tcPr>
            <w:tcW w:type="dxa" w:w="3528"/>
            <w:vAlign w:val="center"/>
            <w:tcMar>
              <w:top w:w="105" w:type="dxa"/>
              <w:start w:w="105" w:type="dxa"/>
              <w:bottom w:w="105" w:type="dxa"/>
              <w:end w:w="105" w:type="dxa"/>
            </w:tcMar>
            <w:shd w:fill="F3F6F8"/>
          </w:tcPr>
          <w:p>
            <w:r>
              <w:rPr>
                <w:sz w:val="17"/>
              </w:rPr>
              <w:t>System support across 116 locally governed colleges.</w:t>
            </w:r>
          </w:p>
        </w:tc>
        <w:tc>
          <w:tcPr>
            <w:tcW w:type="dxa" w:w="3168"/>
            <w:vAlign w:val="center"/>
            <w:tcMar>
              <w:top w:w="105" w:type="dxa"/>
              <w:start w:w="105" w:type="dxa"/>
              <w:bottom w:w="105" w:type="dxa"/>
              <w:end w:w="105" w:type="dxa"/>
            </w:tcMar>
            <w:shd w:fill="F3F6F8"/>
          </w:tcPr>
          <w:p>
            <w:r>
              <w:rPr>
                <w:sz w:val="17"/>
              </w:rPr>
              <w:t>Human-centered AI, equity, pilots, faculty leadership, workforce preparation.</w:t>
            </w:r>
          </w:p>
        </w:tc>
        <w:tc>
          <w:tcPr>
            <w:tcW w:type="dxa" w:w="2016"/>
            <w:vAlign w:val="center"/>
            <w:tcMar>
              <w:top w:w="105" w:type="dxa"/>
              <w:start w:w="105" w:type="dxa"/>
              <w:bottom w:w="105" w:type="dxa"/>
              <w:end w:w="105" w:type="dxa"/>
            </w:tcMar>
            <w:shd w:fill="F3F6F8"/>
          </w:tcPr>
          <w:p>
            <w:r>
              <w:rPr>
                <w:sz w:val="17"/>
              </w:rPr>
              <w:t>System principles may vary widely in course-level practice.</w:t>
            </w:r>
          </w:p>
        </w:tc>
      </w:tr>
      <w:tr>
        <w:tc>
          <w:tcPr>
            <w:tcW w:type="dxa" w:w="2232"/>
            <w:vAlign w:val="center"/>
            <w:tcMar>
              <w:top w:w="105" w:type="dxa"/>
              <w:start w:w="105" w:type="dxa"/>
              <w:bottom w:w="105" w:type="dxa"/>
              <w:end w:w="105" w:type="dxa"/>
            </w:tcMar>
          </w:tcPr>
          <w:p>
            <w:r>
              <w:rPr>
                <w:sz w:val="17"/>
              </w:rPr>
              <w:t>California State University</w:t>
            </w:r>
          </w:p>
        </w:tc>
        <w:tc>
          <w:tcPr>
            <w:tcW w:type="dxa" w:w="3528"/>
            <w:vAlign w:val="center"/>
            <w:tcMar>
              <w:top w:w="105" w:type="dxa"/>
              <w:start w:w="105" w:type="dxa"/>
              <w:bottom w:w="105" w:type="dxa"/>
              <w:end w:w="105" w:type="dxa"/>
            </w:tcMar>
          </w:tcPr>
          <w:p>
            <w:r>
              <w:rPr>
                <w:sz w:val="17"/>
              </w:rPr>
              <w:t>Large teaching-oriented public university system with campus and faculty governance.</w:t>
            </w:r>
          </w:p>
        </w:tc>
        <w:tc>
          <w:tcPr>
            <w:tcW w:type="dxa" w:w="3168"/>
            <w:vAlign w:val="center"/>
            <w:tcMar>
              <w:top w:w="105" w:type="dxa"/>
              <w:start w:w="105" w:type="dxa"/>
              <w:bottom w:w="105" w:type="dxa"/>
              <w:end w:w="105" w:type="dxa"/>
            </w:tcMar>
          </w:tcPr>
          <w:p>
            <w:r>
              <w:rPr>
                <w:sz w:val="17"/>
              </w:rPr>
              <w:t>Broad tool access, training, partnerships, and rapid integration.</w:t>
            </w:r>
          </w:p>
        </w:tc>
        <w:tc>
          <w:tcPr>
            <w:tcW w:type="dxa" w:w="2016"/>
            <w:vAlign w:val="center"/>
            <w:tcMar>
              <w:top w:w="105" w:type="dxa"/>
              <w:start w:w="105" w:type="dxa"/>
              <w:bottom w:w="105" w:type="dxa"/>
              <w:end w:w="105" w:type="dxa"/>
            </w:tcMar>
          </w:tcPr>
          <w:p>
            <w:r>
              <w:rPr>
                <w:sz w:val="17"/>
              </w:rPr>
              <w:t>Access and adoption have moved faster than public evidence of learning gains.</w:t>
            </w:r>
          </w:p>
        </w:tc>
      </w:tr>
      <w:tr>
        <w:tc>
          <w:tcPr>
            <w:tcW w:type="dxa" w:w="2232"/>
            <w:vAlign w:val="center"/>
            <w:tcMar>
              <w:top w:w="105" w:type="dxa"/>
              <w:start w:w="105" w:type="dxa"/>
              <w:bottom w:w="105" w:type="dxa"/>
              <w:end w:w="105" w:type="dxa"/>
            </w:tcMar>
            <w:shd w:fill="F3F6F8"/>
          </w:tcPr>
          <w:p>
            <w:r>
              <w:rPr>
                <w:sz w:val="17"/>
              </w:rPr>
              <w:t>University of California</w:t>
            </w:r>
          </w:p>
        </w:tc>
        <w:tc>
          <w:tcPr>
            <w:tcW w:type="dxa" w:w="3528"/>
            <w:vAlign w:val="center"/>
            <w:tcMar>
              <w:top w:w="105" w:type="dxa"/>
              <w:start w:w="105" w:type="dxa"/>
              <w:bottom w:w="105" w:type="dxa"/>
              <w:end w:w="105" w:type="dxa"/>
            </w:tcMar>
            <w:shd w:fill="F3F6F8"/>
          </w:tcPr>
          <w:p>
            <w:r>
              <w:rPr>
                <w:sz w:val="17"/>
              </w:rPr>
              <w:t>Research university system with strong faculty authority over curriculum.</w:t>
            </w:r>
          </w:p>
        </w:tc>
        <w:tc>
          <w:tcPr>
            <w:tcW w:type="dxa" w:w="3168"/>
            <w:vAlign w:val="center"/>
            <w:tcMar>
              <w:top w:w="105" w:type="dxa"/>
              <w:start w:w="105" w:type="dxa"/>
              <w:bottom w:w="105" w:type="dxa"/>
              <w:end w:w="105" w:type="dxa"/>
            </w:tcMar>
            <w:shd w:fill="F3F6F8"/>
          </w:tcPr>
          <w:p>
            <w:r>
              <w:rPr>
                <w:sz w:val="17"/>
              </w:rPr>
              <w:t>Responsible AI principles, risk assessment, shared governance, agency, adaptability, trustworthiness.</w:t>
            </w:r>
          </w:p>
        </w:tc>
        <w:tc>
          <w:tcPr>
            <w:tcW w:type="dxa" w:w="2016"/>
            <w:vAlign w:val="center"/>
            <w:tcMar>
              <w:top w:w="105" w:type="dxa"/>
              <w:start w:w="105" w:type="dxa"/>
              <w:bottom w:w="105" w:type="dxa"/>
              <w:end w:w="105" w:type="dxa"/>
            </w:tcMar>
            <w:shd w:fill="F3F6F8"/>
          </w:tcPr>
          <w:p>
            <w:r>
              <w:rPr>
                <w:sz w:val="17"/>
              </w:rPr>
              <w:t>Campus and disciplinary autonomy can produce inconsistency and fragmented student expectations.</w:t>
            </w:r>
          </w:p>
        </w:tc>
      </w:tr>
    </w:tbl>
    <w:p/>
    <w:p>
      <w:pPr>
        <w:pStyle w:val="Title"/>
      </w:pPr>
      <w:r>
        <w:t>California Department of Education</w:t>
      </w:r>
    </w:p>
    <w:p>
      <w:pPr>
        <w:pStyle w:val="Heading1"/>
      </w:pPr>
      <w:r>
        <w:t>What the new guidance gets right</w:t>
      </w:r>
    </w:p>
    <w:p>
      <w:r>
        <w:t>The state’s updated Guidance for the Safe and Effective Use of Artificial Intelligence in California Public Schools explicitly says AI should strengthen human learning, creativity, and purpose rather than replace them. It addresses human-centered AI, literacy, access, academic integrity, and privacy. The companion model policy requires disclosure, original student work, limits on AI detection, authorized tools, consent when AI is used for grading or feedback, and the principle that AI should not substitute for critical thinking or required academic work.</w:t>
      </w:r>
    </w:p>
    <w:p>
      <w:pPr>
        <w:pStyle w:val="ListBullet"/>
      </w:pPr>
      <w:r>
        <w:t>It distinguishes learning about AI from learning with AI.</w:t>
      </w:r>
    </w:p>
    <w:p>
      <w:pPr>
        <w:pStyle w:val="ListBullet"/>
      </w:pPr>
      <w:r>
        <w:t>It preserves educators as essential to creativity, authentic voice, judgment, and healthy human connection.</w:t>
      </w:r>
    </w:p>
    <w:p>
      <w:pPr>
        <w:pStyle w:val="ListBullet"/>
      </w:pPr>
      <w:r>
        <w:t>It recognizes bias, hallucination, privacy, academic integrity, well-being, and unequal access.</w:t>
      </w:r>
    </w:p>
    <w:p>
      <w:pPr>
        <w:pStyle w:val="ListBullet"/>
      </w:pPr>
      <w:r>
        <w:t>It allows assignment-level discretion but expects the purpose and rules to be communicated to students and families.</w:t>
      </w:r>
    </w:p>
    <w:p>
      <w:pPr>
        <w:pStyle w:val="ListBullet"/>
      </w:pPr>
      <w:r>
        <w:t>It rejects AI-detection output as the sole basis for discipline and calls for alternative evidence of authorship.</w:t>
      </w:r>
    </w:p>
    <w:p>
      <w:pPr>
        <w:pStyle w:val="Heading1"/>
      </w:pPr>
      <w:r>
        <w:t>Why it remains incomplete</w:t>
      </w:r>
    </w:p>
    <w:p>
      <w:r>
        <w:t>The guidance and model policy are expressly exemplary and nonmandatory. Local educational agencies may adapt them or decline to follow them except where separate law applies. This respects local control, but it also means California has not established a consistent minimum protection for unaided reading, writing, memory, calculation, reasoning, oral defense, or moral judgment.</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2232"/>
            <w:shd w:fill="17324D"/>
            <w:tcMar>
              <w:top w:w="105" w:type="dxa"/>
              <w:start w:w="105" w:type="dxa"/>
              <w:bottom w:w="105" w:type="dxa"/>
              <w:end w:w="105" w:type="dxa"/>
            </w:tcMar>
          </w:tcPr>
          <w:p>
            <w:r>
              <w:rPr>
                <w:b/>
                <w:color w:val="FFFFFF"/>
                <w:sz w:val="17"/>
              </w:rPr>
              <w:t>Well formed mind test</w:t>
            </w:r>
          </w:p>
        </w:tc>
        <w:tc>
          <w:tcPr>
            <w:tcW w:type="dxa" w:w="4968"/>
            <w:shd w:fill="17324D"/>
            <w:tcMar>
              <w:top w:w="105" w:type="dxa"/>
              <w:start w:w="105" w:type="dxa"/>
              <w:bottom w:w="105" w:type="dxa"/>
              <w:end w:w="105" w:type="dxa"/>
            </w:tcMar>
          </w:tcPr>
          <w:p>
            <w:r>
              <w:rPr>
                <w:b/>
                <w:color w:val="FFFFFF"/>
                <w:sz w:val="17"/>
              </w:rPr>
              <w:t>Evidence in state materials</w:t>
            </w:r>
          </w:p>
        </w:tc>
        <w:tc>
          <w:tcPr>
            <w:tcW w:type="dxa" w:w="3744"/>
            <w:shd w:fill="17324D"/>
            <w:tcMar>
              <w:top w:w="105" w:type="dxa"/>
              <w:start w:w="105" w:type="dxa"/>
              <w:bottom w:w="105" w:type="dxa"/>
              <w:end w:w="105" w:type="dxa"/>
            </w:tcMar>
          </w:tcPr>
          <w:p>
            <w:r>
              <w:rPr>
                <w:b/>
                <w:color w:val="FFFFFF"/>
                <w:sz w:val="17"/>
              </w:rPr>
              <w:t>Gap</w:t>
            </w:r>
          </w:p>
        </w:tc>
      </w:tr>
      <w:tr>
        <w:tc>
          <w:tcPr>
            <w:tcW w:type="dxa" w:w="2232"/>
            <w:vAlign w:val="center"/>
            <w:tcMar>
              <w:top w:w="105" w:type="dxa"/>
              <w:start w:w="105" w:type="dxa"/>
              <w:bottom w:w="105" w:type="dxa"/>
              <w:end w:w="105" w:type="dxa"/>
            </w:tcMar>
          </w:tcPr>
          <w:p>
            <w:r>
              <w:rPr>
                <w:sz w:val="17"/>
              </w:rPr>
              <w:t>Truth and verification</w:t>
            </w:r>
          </w:p>
        </w:tc>
        <w:tc>
          <w:tcPr>
            <w:tcW w:type="dxa" w:w="4968"/>
            <w:vAlign w:val="center"/>
            <w:tcMar>
              <w:top w:w="105" w:type="dxa"/>
              <w:start w:w="105" w:type="dxa"/>
              <w:bottom w:w="105" w:type="dxa"/>
              <w:end w:w="105" w:type="dxa"/>
            </w:tcMar>
          </w:tcPr>
          <w:p>
            <w:r>
              <w:rPr>
                <w:sz w:val="17"/>
              </w:rPr>
              <w:t>Critical evaluation, misinformation, bias, hallucinations, citation, and disclosure are addressed.</w:t>
            </w:r>
          </w:p>
        </w:tc>
        <w:tc>
          <w:tcPr>
            <w:tcW w:type="dxa" w:w="3744"/>
            <w:vAlign w:val="center"/>
            <w:tcMar>
              <w:top w:w="105" w:type="dxa"/>
              <w:start w:w="105" w:type="dxa"/>
              <w:bottom w:w="105" w:type="dxa"/>
              <w:end w:w="105" w:type="dxa"/>
            </w:tcMar>
          </w:tcPr>
          <w:p>
            <w:r>
              <w:rPr>
                <w:sz w:val="17"/>
              </w:rPr>
              <w:t>No statewide measure shows students become better at distinguishing truth from plausible output.</w:t>
            </w:r>
          </w:p>
        </w:tc>
      </w:tr>
      <w:tr>
        <w:tc>
          <w:tcPr>
            <w:tcW w:type="dxa" w:w="2232"/>
            <w:vAlign w:val="center"/>
            <w:tcMar>
              <w:top w:w="105" w:type="dxa"/>
              <w:start w:w="105" w:type="dxa"/>
              <w:bottom w:w="105" w:type="dxa"/>
              <w:end w:w="105" w:type="dxa"/>
            </w:tcMar>
            <w:shd w:fill="F3F6F8"/>
          </w:tcPr>
          <w:p>
            <w:r>
              <w:rPr>
                <w:sz w:val="17"/>
              </w:rPr>
              <w:t>Independent work</w:t>
            </w:r>
          </w:p>
        </w:tc>
        <w:tc>
          <w:tcPr>
            <w:tcW w:type="dxa" w:w="4968"/>
            <w:vAlign w:val="center"/>
            <w:tcMar>
              <w:top w:w="105" w:type="dxa"/>
              <w:start w:w="105" w:type="dxa"/>
              <w:bottom w:w="105" w:type="dxa"/>
              <w:end w:w="105" w:type="dxa"/>
            </w:tcMar>
            <w:shd w:fill="F3F6F8"/>
          </w:tcPr>
          <w:p>
            <w:r>
              <w:rPr>
                <w:sz w:val="17"/>
              </w:rPr>
              <w:t>The model policy says AI must not replace critical thinking or required academic work.</w:t>
            </w:r>
          </w:p>
        </w:tc>
        <w:tc>
          <w:tcPr>
            <w:tcW w:type="dxa" w:w="3744"/>
            <w:vAlign w:val="center"/>
            <w:tcMar>
              <w:top w:w="105" w:type="dxa"/>
              <w:start w:w="105" w:type="dxa"/>
              <w:bottom w:w="105" w:type="dxa"/>
              <w:end w:w="105" w:type="dxa"/>
            </w:tcMar>
            <w:shd w:fill="F3F6F8"/>
          </w:tcPr>
          <w:p>
            <w:r>
              <w:rPr>
                <w:sz w:val="17"/>
              </w:rPr>
              <w:t>It does not define the minimum work every student must perform unaided.</w:t>
            </w:r>
          </w:p>
        </w:tc>
      </w:tr>
      <w:tr>
        <w:tc>
          <w:tcPr>
            <w:tcW w:type="dxa" w:w="2232"/>
            <w:vAlign w:val="center"/>
            <w:tcMar>
              <w:top w:w="105" w:type="dxa"/>
              <w:start w:w="105" w:type="dxa"/>
              <w:bottom w:w="105" w:type="dxa"/>
              <w:end w:w="105" w:type="dxa"/>
            </w:tcMar>
          </w:tcPr>
          <w:p>
            <w:r>
              <w:rPr>
                <w:sz w:val="17"/>
              </w:rPr>
              <w:t>Parent authority</w:t>
            </w:r>
          </w:p>
        </w:tc>
        <w:tc>
          <w:tcPr>
            <w:tcW w:type="dxa" w:w="4968"/>
            <w:vAlign w:val="center"/>
            <w:tcMar>
              <w:top w:w="105" w:type="dxa"/>
              <w:start w:w="105" w:type="dxa"/>
              <w:bottom w:w="105" w:type="dxa"/>
              <w:end w:w="105" w:type="dxa"/>
            </w:tcMar>
          </w:tcPr>
          <w:p>
            <w:r>
              <w:rPr>
                <w:sz w:val="17"/>
              </w:rPr>
              <w:t>The model includes communication, parent access to criteria, and consent for AI grading or feedback.</w:t>
            </w:r>
          </w:p>
        </w:tc>
        <w:tc>
          <w:tcPr>
            <w:tcW w:type="dxa" w:w="3744"/>
            <w:vAlign w:val="center"/>
            <w:tcMar>
              <w:top w:w="105" w:type="dxa"/>
              <w:start w:w="105" w:type="dxa"/>
              <w:bottom w:w="105" w:type="dxa"/>
              <w:end w:w="105" w:type="dxa"/>
            </w:tcMar>
          </w:tcPr>
          <w:p>
            <w:r>
              <w:rPr>
                <w:sz w:val="17"/>
              </w:rPr>
              <w:t>Local discretion can produce uneven notice, inspection, consent, and challenge procedures.</w:t>
            </w:r>
          </w:p>
        </w:tc>
      </w:tr>
      <w:tr>
        <w:tc>
          <w:tcPr>
            <w:tcW w:type="dxa" w:w="2232"/>
            <w:vAlign w:val="center"/>
            <w:tcMar>
              <w:top w:w="105" w:type="dxa"/>
              <w:start w:w="105" w:type="dxa"/>
              <w:bottom w:w="105" w:type="dxa"/>
              <w:end w:w="105" w:type="dxa"/>
            </w:tcMar>
            <w:shd w:fill="F3F6F8"/>
          </w:tcPr>
          <w:p>
            <w:r>
              <w:rPr>
                <w:sz w:val="17"/>
              </w:rPr>
              <w:t>Attention and relationships</w:t>
            </w:r>
          </w:p>
        </w:tc>
        <w:tc>
          <w:tcPr>
            <w:tcW w:type="dxa" w:w="4968"/>
            <w:vAlign w:val="center"/>
            <w:tcMar>
              <w:top w:w="105" w:type="dxa"/>
              <w:start w:w="105" w:type="dxa"/>
              <w:bottom w:w="105" w:type="dxa"/>
              <w:end w:w="105" w:type="dxa"/>
            </w:tcMar>
            <w:shd w:fill="F3F6F8"/>
          </w:tcPr>
          <w:p>
            <w:r>
              <w:rPr>
                <w:sz w:val="17"/>
              </w:rPr>
              <w:t>Human connection, authentic voice, well-being, and educator judgment are recognized.</w:t>
            </w:r>
          </w:p>
        </w:tc>
        <w:tc>
          <w:tcPr>
            <w:tcW w:type="dxa" w:w="3744"/>
            <w:vAlign w:val="center"/>
            <w:tcMar>
              <w:top w:w="105" w:type="dxa"/>
              <w:start w:w="105" w:type="dxa"/>
              <w:bottom w:w="105" w:type="dxa"/>
              <w:end w:w="105" w:type="dxa"/>
            </w:tcMar>
            <w:shd w:fill="F3F6F8"/>
          </w:tcPr>
          <w:p>
            <w:r>
              <w:rPr>
                <w:sz w:val="17"/>
              </w:rPr>
              <w:t>No clear protection against dependency, distraction, reduced stamina, or substitution of chatbot relationships.</w:t>
            </w:r>
          </w:p>
        </w:tc>
      </w:tr>
      <w:tr>
        <w:tc>
          <w:tcPr>
            <w:tcW w:type="dxa" w:w="2232"/>
            <w:vAlign w:val="center"/>
            <w:tcMar>
              <w:top w:w="105" w:type="dxa"/>
              <w:start w:w="105" w:type="dxa"/>
              <w:bottom w:w="105" w:type="dxa"/>
              <w:end w:w="105" w:type="dxa"/>
            </w:tcMar>
          </w:tcPr>
          <w:p>
            <w:r>
              <w:rPr>
                <w:sz w:val="17"/>
              </w:rPr>
              <w:t>Accountability</w:t>
            </w:r>
          </w:p>
        </w:tc>
        <w:tc>
          <w:tcPr>
            <w:tcW w:type="dxa" w:w="4968"/>
            <w:vAlign w:val="center"/>
            <w:tcMar>
              <w:top w:w="105" w:type="dxa"/>
              <w:start w:w="105" w:type="dxa"/>
              <w:bottom w:w="105" w:type="dxa"/>
              <w:end w:w="105" w:type="dxa"/>
            </w:tcMar>
          </w:tcPr>
          <w:p>
            <w:r>
              <w:rPr>
                <w:sz w:val="17"/>
              </w:rPr>
              <w:t>Working groups, public meetings, guidance, and model policy are visible.</w:t>
            </w:r>
          </w:p>
        </w:tc>
        <w:tc>
          <w:tcPr>
            <w:tcW w:type="dxa" w:w="3744"/>
            <w:vAlign w:val="center"/>
            <w:tcMar>
              <w:top w:w="105" w:type="dxa"/>
              <w:start w:w="105" w:type="dxa"/>
              <w:bottom w:w="105" w:type="dxa"/>
              <w:end w:w="105" w:type="dxa"/>
            </w:tcMar>
          </w:tcPr>
          <w:p>
            <w:r>
              <w:rPr>
                <w:sz w:val="17"/>
              </w:rPr>
              <w:t>Adoption, classroom use, vendor compliance, and learning effects are not yet reported comparably.</w:t>
            </w:r>
          </w:p>
        </w:tc>
      </w:tr>
    </w:tbl>
    <w:p/>
    <w:p>
      <w:pPr>
        <w:pStyle w:val="Title"/>
      </w:pPr>
      <w:r>
        <w:t>California Community Colleges</w:t>
      </w:r>
    </w:p>
    <w:p>
      <w:pPr>
        <w:pStyle w:val="Heading1"/>
      </w:pPr>
      <w:r>
        <w:t>Strongest public system language on human capacity</w:t>
      </w:r>
    </w:p>
    <w:p>
      <w:r>
        <w:t>The Chancellor’s Office states that technology should amplify human capacity rather than replace it. Its systemwide approach connects AI with equity, accountability, student success, faculty leadership, internal expertise, ethical use, governance, and evaluation. Current initiatives include faculty-led tool creation, AI course assistants, common data infrastructure, AI fellows, ambassadors, and professional development.</w:t>
      </w:r>
    </w:p>
    <w:p>
      <w:r>
        <w:t>This is a more mature institutional stance than treating AI merely as software procurement. It recognizes that teaching, student support, governance, professional judgment, and system capacity must develop together.</w:t>
      </w:r>
    </w:p>
    <w:p>
      <w:pPr>
        <w:pStyle w:val="Heading1"/>
      </w:pPr>
      <w:r>
        <w:t>The unresolved formation question</w:t>
      </w:r>
    </w:p>
    <w:p>
      <w:r>
        <w:t>The system’s stated goals remain dominated by access, student success, scalability, and workforce preparation. Those goals are legitimate, especially for working adults and students historically excluded from higher education. But they do not themselves define the quality of mind a graduate should possess.</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2736"/>
            <w:shd w:fill="17324D"/>
            <w:tcMar>
              <w:top w:w="105" w:type="dxa"/>
              <w:start w:w="105" w:type="dxa"/>
              <w:bottom w:w="105" w:type="dxa"/>
              <w:end w:w="105" w:type="dxa"/>
            </w:tcMar>
          </w:tcPr>
          <w:p>
            <w:r>
              <w:rPr>
                <w:b/>
                <w:color w:val="FFFFFF"/>
                <w:sz w:val="17"/>
              </w:rPr>
              <w:t>Strength</w:t>
            </w:r>
          </w:p>
        </w:tc>
        <w:tc>
          <w:tcPr>
            <w:tcW w:type="dxa" w:w="3960"/>
            <w:shd w:fill="17324D"/>
            <w:tcMar>
              <w:top w:w="105" w:type="dxa"/>
              <w:start w:w="105" w:type="dxa"/>
              <w:bottom w:w="105" w:type="dxa"/>
              <w:end w:w="105" w:type="dxa"/>
            </w:tcMar>
          </w:tcPr>
          <w:p>
            <w:r>
              <w:rPr>
                <w:b/>
                <w:color w:val="FFFFFF"/>
                <w:sz w:val="17"/>
              </w:rPr>
              <w:t>Risk</w:t>
            </w:r>
          </w:p>
        </w:tc>
        <w:tc>
          <w:tcPr>
            <w:tcW w:type="dxa" w:w="4176"/>
            <w:shd w:fill="17324D"/>
            <w:tcMar>
              <w:top w:w="105" w:type="dxa"/>
              <w:start w:w="105" w:type="dxa"/>
              <w:bottom w:w="105" w:type="dxa"/>
              <w:end w:w="105" w:type="dxa"/>
            </w:tcMar>
          </w:tcPr>
          <w:p>
            <w:r>
              <w:rPr>
                <w:b/>
                <w:color w:val="FFFFFF"/>
                <w:sz w:val="17"/>
              </w:rPr>
              <w:t>Evidence required</w:t>
            </w:r>
          </w:p>
        </w:tc>
      </w:tr>
      <w:tr>
        <w:tc>
          <w:tcPr>
            <w:tcW w:type="dxa" w:w="2736"/>
            <w:vAlign w:val="center"/>
            <w:tcMar>
              <w:top w:w="105" w:type="dxa"/>
              <w:start w:w="105" w:type="dxa"/>
              <w:bottom w:w="105" w:type="dxa"/>
              <w:end w:w="105" w:type="dxa"/>
            </w:tcMar>
          </w:tcPr>
          <w:p>
            <w:r>
              <w:rPr>
                <w:sz w:val="17"/>
              </w:rPr>
              <w:t>Human-centered HUMANS principles and explicit nonreplacement language</w:t>
            </w:r>
          </w:p>
        </w:tc>
        <w:tc>
          <w:tcPr>
            <w:tcW w:type="dxa" w:w="3960"/>
            <w:vAlign w:val="center"/>
            <w:tcMar>
              <w:top w:w="105" w:type="dxa"/>
              <w:start w:w="105" w:type="dxa"/>
              <w:bottom w:w="105" w:type="dxa"/>
              <w:end w:w="105" w:type="dxa"/>
            </w:tcMar>
          </w:tcPr>
          <w:p>
            <w:r>
              <w:rPr>
                <w:sz w:val="17"/>
              </w:rPr>
              <w:t>The phrase can become aspirational if assignments do not protect independent thought.</w:t>
            </w:r>
          </w:p>
        </w:tc>
        <w:tc>
          <w:tcPr>
            <w:tcW w:type="dxa" w:w="4176"/>
            <w:vAlign w:val="center"/>
            <w:tcMar>
              <w:top w:w="105" w:type="dxa"/>
              <w:start w:w="105" w:type="dxa"/>
              <w:bottom w:w="105" w:type="dxa"/>
              <w:end w:w="105" w:type="dxa"/>
            </w:tcMar>
          </w:tcPr>
          <w:p>
            <w:r>
              <w:rPr>
                <w:sz w:val="17"/>
              </w:rPr>
              <w:t>Course rules, unaided assessments, oral defenses, student work, and learning comparisons</w:t>
            </w:r>
          </w:p>
        </w:tc>
      </w:tr>
      <w:tr>
        <w:tc>
          <w:tcPr>
            <w:tcW w:type="dxa" w:w="2736"/>
            <w:vAlign w:val="center"/>
            <w:tcMar>
              <w:top w:w="105" w:type="dxa"/>
              <w:start w:w="105" w:type="dxa"/>
              <w:bottom w:w="105" w:type="dxa"/>
              <w:end w:w="105" w:type="dxa"/>
            </w:tcMar>
            <w:shd w:fill="F3F6F8"/>
          </w:tcPr>
          <w:p>
            <w:r>
              <w:rPr>
                <w:sz w:val="17"/>
              </w:rPr>
              <w:t>Faculty fellows, ambassadors, and locally generated tools</w:t>
            </w:r>
          </w:p>
        </w:tc>
        <w:tc>
          <w:tcPr>
            <w:tcW w:type="dxa" w:w="3960"/>
            <w:vAlign w:val="center"/>
            <w:tcMar>
              <w:top w:w="105" w:type="dxa"/>
              <w:start w:w="105" w:type="dxa"/>
              <w:bottom w:w="105" w:type="dxa"/>
              <w:end w:w="105" w:type="dxa"/>
            </w:tcMar>
            <w:shd w:fill="F3F6F8"/>
          </w:tcPr>
          <w:p>
            <w:r>
              <w:rPr>
                <w:sz w:val="17"/>
              </w:rPr>
              <w:t>Innovation may remain concentrated among volunteers and early adopters.</w:t>
            </w:r>
          </w:p>
        </w:tc>
        <w:tc>
          <w:tcPr>
            <w:tcW w:type="dxa" w:w="4176"/>
            <w:vAlign w:val="center"/>
            <w:tcMar>
              <w:top w:w="105" w:type="dxa"/>
              <w:start w:w="105" w:type="dxa"/>
              <w:bottom w:w="105" w:type="dxa"/>
              <w:end w:w="105" w:type="dxa"/>
            </w:tcMar>
            <w:shd w:fill="F3F6F8"/>
          </w:tcPr>
          <w:p>
            <w:r>
              <w:rPr>
                <w:sz w:val="17"/>
              </w:rPr>
              <w:t>Participation, course reach, discipline coverage, and skeptical faculty perspectives</w:t>
            </w:r>
          </w:p>
        </w:tc>
      </w:tr>
      <w:tr>
        <w:tc>
          <w:tcPr>
            <w:tcW w:type="dxa" w:w="2736"/>
            <w:vAlign w:val="center"/>
            <w:tcMar>
              <w:top w:w="105" w:type="dxa"/>
              <w:start w:w="105" w:type="dxa"/>
              <w:bottom w:w="105" w:type="dxa"/>
              <w:end w:w="105" w:type="dxa"/>
            </w:tcMar>
          </w:tcPr>
          <w:p>
            <w:r>
              <w:rPr>
                <w:sz w:val="17"/>
              </w:rPr>
              <w:t>AI course-assistant pilots</w:t>
            </w:r>
          </w:p>
        </w:tc>
        <w:tc>
          <w:tcPr>
            <w:tcW w:type="dxa" w:w="3960"/>
            <w:vAlign w:val="center"/>
            <w:tcMar>
              <w:top w:w="105" w:type="dxa"/>
              <w:start w:w="105" w:type="dxa"/>
              <w:bottom w:w="105" w:type="dxa"/>
              <w:end w:w="105" w:type="dxa"/>
            </w:tcMar>
          </w:tcPr>
          <w:p>
            <w:r>
              <w:rPr>
                <w:sz w:val="17"/>
              </w:rPr>
              <w:t>Engagement and response speed may be mistaken for understanding.</w:t>
            </w:r>
          </w:p>
        </w:tc>
        <w:tc>
          <w:tcPr>
            <w:tcW w:type="dxa" w:w="4176"/>
            <w:vAlign w:val="center"/>
            <w:tcMar>
              <w:top w:w="105" w:type="dxa"/>
              <w:start w:w="105" w:type="dxa"/>
              <w:bottom w:w="105" w:type="dxa"/>
              <w:end w:w="105" w:type="dxa"/>
            </w:tcMar>
          </w:tcPr>
          <w:p>
            <w:r>
              <w:rPr>
                <w:sz w:val="17"/>
              </w:rPr>
              <w:t>Pre and post learning, transfer, dependency, accuracy, persistence, and subgroup outcomes</w:t>
            </w:r>
          </w:p>
        </w:tc>
      </w:tr>
      <w:tr>
        <w:tc>
          <w:tcPr>
            <w:tcW w:type="dxa" w:w="2736"/>
            <w:vAlign w:val="center"/>
            <w:tcMar>
              <w:top w:w="105" w:type="dxa"/>
              <w:start w:w="105" w:type="dxa"/>
              <w:bottom w:w="105" w:type="dxa"/>
              <w:end w:w="105" w:type="dxa"/>
            </w:tcMar>
            <w:shd w:fill="F3F6F8"/>
          </w:tcPr>
          <w:p>
            <w:r>
              <w:rPr>
                <w:sz w:val="17"/>
              </w:rPr>
              <w:t>Industry partnerships and workforce alignment</w:t>
            </w:r>
          </w:p>
        </w:tc>
        <w:tc>
          <w:tcPr>
            <w:tcW w:type="dxa" w:w="3960"/>
            <w:vAlign w:val="center"/>
            <w:tcMar>
              <w:top w:w="105" w:type="dxa"/>
              <w:start w:w="105" w:type="dxa"/>
              <w:bottom w:w="105" w:type="dxa"/>
              <w:end w:w="105" w:type="dxa"/>
            </w:tcMar>
            <w:shd w:fill="F3F6F8"/>
          </w:tcPr>
          <w:p>
            <w:r>
              <w:rPr>
                <w:sz w:val="17"/>
              </w:rPr>
              <w:t>Vendor interests may shape curriculum, tools, credentials, and definitions of readiness.</w:t>
            </w:r>
          </w:p>
        </w:tc>
        <w:tc>
          <w:tcPr>
            <w:tcW w:type="dxa" w:w="4176"/>
            <w:vAlign w:val="center"/>
            <w:tcMar>
              <w:top w:w="105" w:type="dxa"/>
              <w:start w:w="105" w:type="dxa"/>
              <w:bottom w:w="105" w:type="dxa"/>
              <w:end w:w="105" w:type="dxa"/>
            </w:tcMar>
            <w:shd w:fill="F3F6F8"/>
          </w:tcPr>
          <w:p>
            <w:r>
              <w:rPr>
                <w:sz w:val="17"/>
              </w:rPr>
              <w:t>Contracts, governance, exit rights, data terms, faculty control, and employer outcome evidence</w:t>
            </w:r>
          </w:p>
        </w:tc>
      </w:tr>
      <w:tr>
        <w:tc>
          <w:tcPr>
            <w:tcW w:type="dxa" w:w="2736"/>
            <w:vAlign w:val="center"/>
            <w:tcMar>
              <w:top w:w="105" w:type="dxa"/>
              <w:start w:w="105" w:type="dxa"/>
              <w:bottom w:w="105" w:type="dxa"/>
              <w:end w:w="105" w:type="dxa"/>
            </w:tcMar>
          </w:tcPr>
          <w:p>
            <w:r>
              <w:rPr>
                <w:sz w:val="17"/>
              </w:rPr>
              <w:t>Equity and access</w:t>
            </w:r>
          </w:p>
        </w:tc>
        <w:tc>
          <w:tcPr>
            <w:tcW w:type="dxa" w:w="3960"/>
            <w:vAlign w:val="center"/>
            <w:tcMar>
              <w:top w:w="105" w:type="dxa"/>
              <w:start w:w="105" w:type="dxa"/>
              <w:bottom w:w="105" w:type="dxa"/>
              <w:end w:w="105" w:type="dxa"/>
            </w:tcMar>
          </w:tcPr>
          <w:p>
            <w:r>
              <w:rPr>
                <w:sz w:val="17"/>
              </w:rPr>
              <w:t>Universal availability can broaden opportunity but also universalize weak pedagogy or surveillance.</w:t>
            </w:r>
          </w:p>
        </w:tc>
        <w:tc>
          <w:tcPr>
            <w:tcW w:type="dxa" w:w="4176"/>
            <w:vAlign w:val="center"/>
            <w:tcMar>
              <w:top w:w="105" w:type="dxa"/>
              <w:start w:w="105" w:type="dxa"/>
              <w:bottom w:w="105" w:type="dxa"/>
              <w:end w:w="105" w:type="dxa"/>
            </w:tcMar>
          </w:tcPr>
          <w:p>
            <w:r>
              <w:rPr>
                <w:sz w:val="17"/>
              </w:rPr>
              <w:t>Accessibility testing, privacy audit, cost, alternatives, and opt-out experience</w:t>
            </w:r>
          </w:p>
        </w:tc>
      </w:tr>
    </w:tbl>
    <w:p/>
    <w:p>
      <w:pPr>
        <w:pStyle w:val="Title"/>
      </w:pPr>
      <w:r>
        <w:t>California State University</w:t>
      </w:r>
    </w:p>
    <w:p>
      <w:pPr>
        <w:pStyle w:val="Heading1"/>
      </w:pPr>
      <w:r>
        <w:t>The broad access strategy</w:t>
      </w:r>
    </w:p>
    <w:p>
      <w:r>
        <w:t>The California State University has pursued large-scale access to generative AI tools, resources, and training through a public-private initiative. The system describes the effort as support for teaching, learning, research, operations, student success, and California’s workforce. Academic Senate materials also show faculty concern about systemwide tool selection, faculty participation, academic freedom, integrity, privacy, intellectual property, workload, and governance.</w:t>
      </w:r>
    </w:p>
    <w:p>
      <w:r>
        <w:t>The institutional advantage is reach: a systemwide program can reduce unequal access and provide common training and security arrangements. The danger is that procurement creates momentum before the educational purpose, course-level boundaries, and outcome measures are settled.</w:t>
      </w:r>
    </w:p>
    <w:p>
      <w:pPr>
        <w:pStyle w:val="Heading1"/>
      </w:pPr>
      <w:r>
        <w:t>Assessment under the formation framework</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2232"/>
            <w:shd w:fill="17324D"/>
            <w:tcMar>
              <w:top w:w="105" w:type="dxa"/>
              <w:start w:w="105" w:type="dxa"/>
              <w:bottom w:w="105" w:type="dxa"/>
              <w:end w:w="105" w:type="dxa"/>
            </w:tcMar>
          </w:tcPr>
          <w:p>
            <w:r>
              <w:rPr>
                <w:b/>
                <w:color w:val="FFFFFF"/>
                <w:sz w:val="17"/>
              </w:rPr>
              <w:t>Criterion</w:t>
            </w:r>
          </w:p>
        </w:tc>
        <w:tc>
          <w:tcPr>
            <w:tcW w:type="dxa" w:w="6624"/>
            <w:shd w:fill="17324D"/>
            <w:tcMar>
              <w:top w:w="105" w:type="dxa"/>
              <w:start w:w="105" w:type="dxa"/>
              <w:bottom w:w="105" w:type="dxa"/>
              <w:end w:w="105" w:type="dxa"/>
            </w:tcMar>
          </w:tcPr>
          <w:p>
            <w:r>
              <w:rPr>
                <w:b/>
                <w:color w:val="FFFFFF"/>
                <w:sz w:val="17"/>
              </w:rPr>
              <w:t>Preliminary judgment</w:t>
            </w:r>
          </w:p>
        </w:tc>
        <w:tc>
          <w:tcPr>
            <w:tcW w:type="dxa" w:w="1872"/>
            <w:shd w:fill="17324D"/>
            <w:tcMar>
              <w:top w:w="105" w:type="dxa"/>
              <w:start w:w="105" w:type="dxa"/>
              <w:bottom w:w="105" w:type="dxa"/>
              <w:end w:w="105" w:type="dxa"/>
            </w:tcMar>
          </w:tcPr>
          <w:p>
            <w:r>
              <w:rPr>
                <w:b/>
                <w:color w:val="FFFFFF"/>
                <w:sz w:val="17"/>
              </w:rPr>
              <w:t>Evidence status</w:t>
            </w:r>
          </w:p>
        </w:tc>
      </w:tr>
      <w:tr>
        <w:tc>
          <w:tcPr>
            <w:tcW w:type="dxa" w:w="2232"/>
            <w:vAlign w:val="center"/>
            <w:tcMar>
              <w:top w:w="105" w:type="dxa"/>
              <w:start w:w="105" w:type="dxa"/>
              <w:bottom w:w="105" w:type="dxa"/>
              <w:end w:w="105" w:type="dxa"/>
            </w:tcMar>
          </w:tcPr>
          <w:p>
            <w:r>
              <w:rPr>
                <w:sz w:val="17"/>
              </w:rPr>
              <w:t>Access and affordability</w:t>
            </w:r>
          </w:p>
        </w:tc>
        <w:tc>
          <w:tcPr>
            <w:tcW w:type="dxa" w:w="6624"/>
            <w:vAlign w:val="center"/>
            <w:tcMar>
              <w:top w:w="105" w:type="dxa"/>
              <w:start w:w="105" w:type="dxa"/>
              <w:bottom w:w="105" w:type="dxa"/>
              <w:end w:w="105" w:type="dxa"/>
            </w:tcMar>
          </w:tcPr>
          <w:p>
            <w:r>
              <w:rPr>
                <w:sz w:val="17"/>
              </w:rPr>
              <w:t>Systemwide availability may reduce tool-access inequality.</w:t>
            </w:r>
          </w:p>
        </w:tc>
        <w:tc>
          <w:tcPr>
            <w:tcW w:type="dxa" w:w="1872"/>
            <w:vAlign w:val="center"/>
            <w:tcMar>
              <w:top w:w="105" w:type="dxa"/>
              <w:start w:w="105" w:type="dxa"/>
              <w:bottom w:w="105" w:type="dxa"/>
              <w:end w:w="105" w:type="dxa"/>
            </w:tcMar>
          </w:tcPr>
          <w:p>
            <w:r>
              <w:rPr>
                <w:sz w:val="17"/>
              </w:rPr>
              <w:t>Institutional claim with structural support</w:t>
            </w:r>
          </w:p>
        </w:tc>
      </w:tr>
      <w:tr>
        <w:tc>
          <w:tcPr>
            <w:tcW w:type="dxa" w:w="2232"/>
            <w:vAlign w:val="center"/>
            <w:tcMar>
              <w:top w:w="105" w:type="dxa"/>
              <w:start w:w="105" w:type="dxa"/>
              <w:bottom w:w="105" w:type="dxa"/>
              <w:end w:w="105" w:type="dxa"/>
            </w:tcMar>
            <w:shd w:fill="F3F6F8"/>
          </w:tcPr>
          <w:p>
            <w:r>
              <w:rPr>
                <w:sz w:val="17"/>
              </w:rPr>
              <w:t>Teacher and faculty preparation</w:t>
            </w:r>
          </w:p>
        </w:tc>
        <w:tc>
          <w:tcPr>
            <w:tcW w:type="dxa" w:w="6624"/>
            <w:vAlign w:val="center"/>
            <w:tcMar>
              <w:top w:w="105" w:type="dxa"/>
              <w:start w:w="105" w:type="dxa"/>
              <w:bottom w:w="105" w:type="dxa"/>
              <w:end w:w="105" w:type="dxa"/>
            </w:tcMar>
            <w:shd w:fill="F3F6F8"/>
          </w:tcPr>
          <w:p>
            <w:r>
              <w:rPr>
                <w:sz w:val="17"/>
              </w:rPr>
              <w:t>Training and resources are central to the initiative.</w:t>
            </w:r>
          </w:p>
        </w:tc>
        <w:tc>
          <w:tcPr>
            <w:tcW w:type="dxa" w:w="1872"/>
            <w:vAlign w:val="center"/>
            <w:tcMar>
              <w:top w:w="105" w:type="dxa"/>
              <w:start w:w="105" w:type="dxa"/>
              <w:bottom w:w="105" w:type="dxa"/>
              <w:end w:w="105" w:type="dxa"/>
            </w:tcMar>
            <w:shd w:fill="F3F6F8"/>
          </w:tcPr>
          <w:p>
            <w:r>
              <w:rPr>
                <w:sz w:val="17"/>
              </w:rPr>
              <w:t>Participation and practice not yet verified</w:t>
            </w:r>
          </w:p>
        </w:tc>
      </w:tr>
      <w:tr>
        <w:tc>
          <w:tcPr>
            <w:tcW w:type="dxa" w:w="2232"/>
            <w:vAlign w:val="center"/>
            <w:tcMar>
              <w:top w:w="105" w:type="dxa"/>
              <w:start w:w="105" w:type="dxa"/>
              <w:bottom w:w="105" w:type="dxa"/>
              <w:end w:w="105" w:type="dxa"/>
            </w:tcMar>
          </w:tcPr>
          <w:p>
            <w:r>
              <w:rPr>
                <w:sz w:val="17"/>
              </w:rPr>
              <w:t>Independent work</w:t>
            </w:r>
          </w:p>
        </w:tc>
        <w:tc>
          <w:tcPr>
            <w:tcW w:type="dxa" w:w="6624"/>
            <w:vAlign w:val="center"/>
            <w:tcMar>
              <w:top w:w="105" w:type="dxa"/>
              <w:start w:w="105" w:type="dxa"/>
              <w:bottom w:w="105" w:type="dxa"/>
              <w:end w:w="105" w:type="dxa"/>
            </w:tcMar>
          </w:tcPr>
          <w:p>
            <w:r>
              <w:rPr>
                <w:sz w:val="17"/>
              </w:rPr>
              <w:t>Campus and course rules may preserve unaided work, but no common public minimum was established in this review.</w:t>
            </w:r>
          </w:p>
        </w:tc>
        <w:tc>
          <w:tcPr>
            <w:tcW w:type="dxa" w:w="1872"/>
            <w:vAlign w:val="center"/>
            <w:tcMar>
              <w:top w:w="105" w:type="dxa"/>
              <w:start w:w="105" w:type="dxa"/>
              <w:bottom w:w="105" w:type="dxa"/>
              <w:end w:w="105" w:type="dxa"/>
            </w:tcMar>
          </w:tcPr>
          <w:p>
            <w:r>
              <w:rPr>
                <w:sz w:val="17"/>
              </w:rPr>
              <w:t>Missing systemwide evidence</w:t>
            </w:r>
          </w:p>
        </w:tc>
      </w:tr>
      <w:tr>
        <w:tc>
          <w:tcPr>
            <w:tcW w:type="dxa" w:w="2232"/>
            <w:vAlign w:val="center"/>
            <w:tcMar>
              <w:top w:w="105" w:type="dxa"/>
              <w:start w:w="105" w:type="dxa"/>
              <w:bottom w:w="105" w:type="dxa"/>
              <w:end w:w="105" w:type="dxa"/>
            </w:tcMar>
            <w:shd w:fill="F3F6F8"/>
          </w:tcPr>
          <w:p>
            <w:r>
              <w:rPr>
                <w:sz w:val="17"/>
              </w:rPr>
              <w:t>Truth and verification</w:t>
            </w:r>
          </w:p>
        </w:tc>
        <w:tc>
          <w:tcPr>
            <w:tcW w:type="dxa" w:w="6624"/>
            <w:vAlign w:val="center"/>
            <w:tcMar>
              <w:top w:w="105" w:type="dxa"/>
              <w:start w:w="105" w:type="dxa"/>
              <w:bottom w:w="105" w:type="dxa"/>
              <w:end w:w="105" w:type="dxa"/>
            </w:tcMar>
            <w:shd w:fill="F3F6F8"/>
          </w:tcPr>
          <w:p>
            <w:r>
              <w:rPr>
                <w:sz w:val="17"/>
              </w:rPr>
              <w:t>AI literacy and responsible use are discussed; actual verification requirements vary.</w:t>
            </w:r>
          </w:p>
        </w:tc>
        <w:tc>
          <w:tcPr>
            <w:tcW w:type="dxa" w:w="1872"/>
            <w:vAlign w:val="center"/>
            <w:tcMar>
              <w:top w:w="105" w:type="dxa"/>
              <w:start w:w="105" w:type="dxa"/>
              <w:bottom w:w="105" w:type="dxa"/>
              <w:end w:w="105" w:type="dxa"/>
            </w:tcMar>
            <w:shd w:fill="F3F6F8"/>
          </w:tcPr>
          <w:p>
            <w:r>
              <w:rPr>
                <w:sz w:val="17"/>
              </w:rPr>
              <w:t>Fragmented evidence</w:t>
            </w:r>
          </w:p>
        </w:tc>
      </w:tr>
      <w:tr>
        <w:tc>
          <w:tcPr>
            <w:tcW w:type="dxa" w:w="2232"/>
            <w:vAlign w:val="center"/>
            <w:tcMar>
              <w:top w:w="105" w:type="dxa"/>
              <w:start w:w="105" w:type="dxa"/>
              <w:bottom w:w="105" w:type="dxa"/>
              <w:end w:w="105" w:type="dxa"/>
            </w:tcMar>
          </w:tcPr>
          <w:p>
            <w:r>
              <w:rPr>
                <w:sz w:val="17"/>
              </w:rPr>
              <w:t>Faculty authority</w:t>
            </w:r>
          </w:p>
        </w:tc>
        <w:tc>
          <w:tcPr>
            <w:tcW w:type="dxa" w:w="6624"/>
            <w:vAlign w:val="center"/>
            <w:tcMar>
              <w:top w:w="105" w:type="dxa"/>
              <w:start w:w="105" w:type="dxa"/>
              <w:bottom w:w="105" w:type="dxa"/>
              <w:end w:w="105" w:type="dxa"/>
            </w:tcMar>
          </w:tcPr>
          <w:p>
            <w:r>
              <w:rPr>
                <w:sz w:val="17"/>
              </w:rPr>
              <w:t>Senate resolutions indicate active concern about consultation and selection.</w:t>
            </w:r>
          </w:p>
        </w:tc>
        <w:tc>
          <w:tcPr>
            <w:tcW w:type="dxa" w:w="1872"/>
            <w:vAlign w:val="center"/>
            <w:tcMar>
              <w:top w:w="105" w:type="dxa"/>
              <w:start w:w="105" w:type="dxa"/>
              <w:bottom w:w="105" w:type="dxa"/>
              <w:end w:w="105" w:type="dxa"/>
            </w:tcMar>
          </w:tcPr>
          <w:p>
            <w:r>
              <w:rPr>
                <w:sz w:val="17"/>
              </w:rPr>
              <w:t>Documented governance dispute</w:t>
            </w:r>
          </w:p>
        </w:tc>
      </w:tr>
      <w:tr>
        <w:tc>
          <w:tcPr>
            <w:tcW w:type="dxa" w:w="2232"/>
            <w:vAlign w:val="center"/>
            <w:tcMar>
              <w:top w:w="105" w:type="dxa"/>
              <w:start w:w="105" w:type="dxa"/>
              <w:bottom w:w="105" w:type="dxa"/>
              <w:end w:w="105" w:type="dxa"/>
            </w:tcMar>
            <w:shd w:fill="F3F6F8"/>
          </w:tcPr>
          <w:p>
            <w:r>
              <w:rPr>
                <w:sz w:val="17"/>
              </w:rPr>
              <w:t>Vendor governance</w:t>
            </w:r>
          </w:p>
        </w:tc>
        <w:tc>
          <w:tcPr>
            <w:tcW w:type="dxa" w:w="6624"/>
            <w:vAlign w:val="center"/>
            <w:tcMar>
              <w:top w:w="105" w:type="dxa"/>
              <w:start w:w="105" w:type="dxa"/>
              <w:bottom w:w="105" w:type="dxa"/>
              <w:end w:w="105" w:type="dxa"/>
            </w:tcMar>
            <w:shd w:fill="F3F6F8"/>
          </w:tcPr>
          <w:p>
            <w:r>
              <w:rPr>
                <w:sz w:val="17"/>
              </w:rPr>
              <w:t>Partnership gives scale but raises dependence, data, interoperability, cost, and exit questions.</w:t>
            </w:r>
          </w:p>
        </w:tc>
        <w:tc>
          <w:tcPr>
            <w:tcW w:type="dxa" w:w="1872"/>
            <w:vAlign w:val="center"/>
            <w:tcMar>
              <w:top w:w="105" w:type="dxa"/>
              <w:start w:w="105" w:type="dxa"/>
              <w:bottom w:w="105" w:type="dxa"/>
              <w:end w:w="105" w:type="dxa"/>
            </w:tcMar>
            <w:shd w:fill="F3F6F8"/>
          </w:tcPr>
          <w:p>
            <w:r>
              <w:rPr>
                <w:sz w:val="17"/>
              </w:rPr>
              <w:t>Contract evidence required</w:t>
            </w:r>
          </w:p>
        </w:tc>
      </w:tr>
      <w:tr>
        <w:tc>
          <w:tcPr>
            <w:tcW w:type="dxa" w:w="2232"/>
            <w:vAlign w:val="center"/>
            <w:tcMar>
              <w:top w:w="105" w:type="dxa"/>
              <w:start w:w="105" w:type="dxa"/>
              <w:bottom w:w="105" w:type="dxa"/>
              <w:end w:w="105" w:type="dxa"/>
            </w:tcMar>
          </w:tcPr>
          <w:p>
            <w:r>
              <w:rPr>
                <w:sz w:val="17"/>
              </w:rPr>
              <w:t>Learning outcomes</w:t>
            </w:r>
          </w:p>
        </w:tc>
        <w:tc>
          <w:tcPr>
            <w:tcW w:type="dxa" w:w="6624"/>
            <w:vAlign w:val="center"/>
            <w:tcMar>
              <w:top w:w="105" w:type="dxa"/>
              <w:start w:w="105" w:type="dxa"/>
              <w:bottom w:w="105" w:type="dxa"/>
              <w:end w:w="105" w:type="dxa"/>
            </w:tcMar>
          </w:tcPr>
          <w:p>
            <w:r>
              <w:rPr>
                <w:sz w:val="17"/>
              </w:rPr>
              <w:t>The initiative promises educational and workforce benefits.</w:t>
            </w:r>
          </w:p>
        </w:tc>
        <w:tc>
          <w:tcPr>
            <w:tcW w:type="dxa" w:w="1872"/>
            <w:vAlign w:val="center"/>
            <w:tcMar>
              <w:top w:w="105" w:type="dxa"/>
              <w:start w:w="105" w:type="dxa"/>
              <w:bottom w:w="105" w:type="dxa"/>
              <w:end w:w="105" w:type="dxa"/>
            </w:tcMar>
          </w:tcPr>
          <w:p>
            <w:r>
              <w:rPr>
                <w:sz w:val="17"/>
              </w:rPr>
              <w:t>Comparable gains not yet demonstrated</w:t>
            </w:r>
          </w:p>
        </w:tc>
      </w:tr>
      <w:tr>
        <w:tc>
          <w:tcPr>
            <w:tcW w:type="dxa" w:w="2232"/>
            <w:vAlign w:val="center"/>
            <w:tcMar>
              <w:top w:w="105" w:type="dxa"/>
              <w:start w:w="105" w:type="dxa"/>
              <w:bottom w:w="105" w:type="dxa"/>
              <w:end w:w="105" w:type="dxa"/>
            </w:tcMar>
            <w:shd w:fill="F3F6F8"/>
          </w:tcPr>
          <w:p>
            <w:r>
              <w:rPr>
                <w:sz w:val="17"/>
              </w:rPr>
              <w:t>Formation purpose</w:t>
            </w:r>
          </w:p>
        </w:tc>
        <w:tc>
          <w:tcPr>
            <w:tcW w:type="dxa" w:w="6624"/>
            <w:vAlign w:val="center"/>
            <w:tcMar>
              <w:top w:w="105" w:type="dxa"/>
              <w:start w:w="105" w:type="dxa"/>
              <w:bottom w:w="105" w:type="dxa"/>
              <w:end w:w="105" w:type="dxa"/>
            </w:tcMar>
            <w:shd w:fill="F3F6F8"/>
          </w:tcPr>
          <w:p>
            <w:r>
              <w:rPr>
                <w:sz w:val="17"/>
              </w:rPr>
              <w:t>Student success and workforce readiness are clear; a comprehensive account of judgment, character, and human flourishing is not.</w:t>
            </w:r>
          </w:p>
        </w:tc>
        <w:tc>
          <w:tcPr>
            <w:tcW w:type="dxa" w:w="1872"/>
            <w:vAlign w:val="center"/>
            <w:tcMar>
              <w:top w:w="105" w:type="dxa"/>
              <w:start w:w="105" w:type="dxa"/>
              <w:bottom w:w="105" w:type="dxa"/>
              <w:end w:w="105" w:type="dxa"/>
            </w:tcMar>
            <w:shd w:fill="F3F6F8"/>
          </w:tcPr>
          <w:p>
            <w:r>
              <w:rPr>
                <w:sz w:val="17"/>
              </w:rPr>
              <w:t>Partial institutional position</w:t>
            </w:r>
          </w:p>
        </w:tc>
      </w:tr>
    </w:tbl>
    <w:p/>
    <w:p>
      <w:pPr>
        <w:pStyle w:val="Title"/>
      </w:pPr>
      <w:r>
        <w:t>University of California</w:t>
      </w:r>
    </w:p>
    <w:p>
      <w:pPr>
        <w:pStyle w:val="Heading1"/>
      </w:pPr>
      <w:r>
        <w:t>The strongest internal critique</w:t>
      </w:r>
    </w:p>
    <w:p>
      <w:r>
        <w:t>The University of California Academic Senate’s December 2025 report is the most intellectually candid of the four system documents reviewed. It acknowledges that administrative technology units often moved before substantial faculty governance; that little policy work had been completed in academic integrity, personnel review, and data ownership; and that enthusiasm for research uses can coexist with concern about effects on reading, writing, creativity, and pedagogy.</w:t>
      </w:r>
    </w:p>
    <w:p>
      <w:r>
        <w:t>The report organizes its recommendations around agency, adaptability, and trustworthiness. It defends faculty authority, discipline-specific rules, opt-in choices, the right to refuse some AI tools, transparency when instructors use AI to teach or evaluate, protection of student data, and consultation before procurement.</w:t>
      </w:r>
    </w:p>
    <w:p>
      <w:pPr>
        <w:pStyle w:val="Heading1"/>
      </w:pPr>
      <w:r>
        <w:t>Human intellectual work</w:t>
      </w:r>
    </w:p>
    <w:p>
      <w:r>
        <w:t>Most important for this investigation, the report states that learning remains active and demanding when AI is present and that generative tools cannot replace the intellectual work learning requires. It recommends assignments built around iteration, reflection, comparison, critique, revision, research, and argumentation. It also treats AI as an opportunity to ask what counts as knowledge, evidence, argument, authorship, and judgment.</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2592"/>
            <w:shd w:fill="17324D"/>
            <w:tcMar>
              <w:top w:w="105" w:type="dxa"/>
              <w:start w:w="105" w:type="dxa"/>
              <w:bottom w:w="105" w:type="dxa"/>
              <w:end w:w="105" w:type="dxa"/>
            </w:tcMar>
          </w:tcPr>
          <w:p>
            <w:r>
              <w:rPr>
                <w:b/>
                <w:color w:val="FFFFFF"/>
                <w:sz w:val="17"/>
              </w:rPr>
              <w:t>Strength</w:t>
            </w:r>
          </w:p>
        </w:tc>
        <w:tc>
          <w:tcPr>
            <w:tcW w:type="dxa" w:w="4608"/>
            <w:shd w:fill="17324D"/>
            <w:tcMar>
              <w:top w:w="105" w:type="dxa"/>
              <w:start w:w="105" w:type="dxa"/>
              <w:bottom w:w="105" w:type="dxa"/>
              <w:end w:w="105" w:type="dxa"/>
            </w:tcMar>
          </w:tcPr>
          <w:p>
            <w:r>
              <w:rPr>
                <w:b/>
                <w:color w:val="FFFFFF"/>
                <w:sz w:val="17"/>
              </w:rPr>
              <w:t>Why it matters</w:t>
            </w:r>
          </w:p>
        </w:tc>
        <w:tc>
          <w:tcPr>
            <w:tcW w:type="dxa" w:w="3600"/>
            <w:shd w:fill="17324D"/>
            <w:tcMar>
              <w:top w:w="105" w:type="dxa"/>
              <w:start w:w="105" w:type="dxa"/>
              <w:bottom w:w="105" w:type="dxa"/>
              <w:end w:w="105" w:type="dxa"/>
            </w:tcMar>
          </w:tcPr>
          <w:p>
            <w:r>
              <w:rPr>
                <w:b/>
                <w:color w:val="FFFFFF"/>
                <w:sz w:val="17"/>
              </w:rPr>
              <w:t>Remaining gap</w:t>
            </w:r>
          </w:p>
        </w:tc>
      </w:tr>
      <w:tr>
        <w:tc>
          <w:tcPr>
            <w:tcW w:type="dxa" w:w="2592"/>
            <w:vAlign w:val="center"/>
            <w:tcMar>
              <w:top w:w="105" w:type="dxa"/>
              <w:start w:w="105" w:type="dxa"/>
              <w:bottom w:w="105" w:type="dxa"/>
              <w:end w:w="105" w:type="dxa"/>
            </w:tcMar>
          </w:tcPr>
          <w:p>
            <w:r>
              <w:rPr>
                <w:sz w:val="17"/>
              </w:rPr>
              <w:t>Faculty agency and shared governance</w:t>
            </w:r>
          </w:p>
        </w:tc>
        <w:tc>
          <w:tcPr>
            <w:tcW w:type="dxa" w:w="4608"/>
            <w:vAlign w:val="center"/>
            <w:tcMar>
              <w:top w:w="105" w:type="dxa"/>
              <w:start w:w="105" w:type="dxa"/>
              <w:bottom w:w="105" w:type="dxa"/>
              <w:end w:w="105" w:type="dxa"/>
            </w:tcMar>
          </w:tcPr>
          <w:p>
            <w:r>
              <w:rPr>
                <w:sz w:val="17"/>
              </w:rPr>
              <w:t>Places pedagogical judgment with those responsible for disciplines and assessment.</w:t>
            </w:r>
          </w:p>
        </w:tc>
        <w:tc>
          <w:tcPr>
            <w:tcW w:type="dxa" w:w="3600"/>
            <w:vAlign w:val="center"/>
            <w:tcMar>
              <w:top w:w="105" w:type="dxa"/>
              <w:start w:w="105" w:type="dxa"/>
              <w:bottom w:w="105" w:type="dxa"/>
              <w:end w:w="105" w:type="dxa"/>
            </w:tcMar>
          </w:tcPr>
          <w:p>
            <w:r>
              <w:rPr>
                <w:sz w:val="17"/>
              </w:rPr>
              <w:t>Students may face inconsistent rules across courses and campuses.</w:t>
            </w:r>
          </w:p>
        </w:tc>
      </w:tr>
      <w:tr>
        <w:tc>
          <w:tcPr>
            <w:tcW w:type="dxa" w:w="2592"/>
            <w:vAlign w:val="center"/>
            <w:tcMar>
              <w:top w:w="105" w:type="dxa"/>
              <w:start w:w="105" w:type="dxa"/>
              <w:bottom w:w="105" w:type="dxa"/>
              <w:end w:w="105" w:type="dxa"/>
            </w:tcMar>
            <w:shd w:fill="F3F6F8"/>
          </w:tcPr>
          <w:p>
            <w:r>
              <w:rPr>
                <w:sz w:val="17"/>
              </w:rPr>
              <w:t>Right of refusal and opt-in tools</w:t>
            </w:r>
          </w:p>
        </w:tc>
        <w:tc>
          <w:tcPr>
            <w:tcW w:type="dxa" w:w="4608"/>
            <w:vAlign w:val="center"/>
            <w:tcMar>
              <w:top w:w="105" w:type="dxa"/>
              <w:start w:w="105" w:type="dxa"/>
              <w:bottom w:w="105" w:type="dxa"/>
              <w:end w:w="105" w:type="dxa"/>
            </w:tcMar>
            <w:shd w:fill="F3F6F8"/>
          </w:tcPr>
          <w:p>
            <w:r>
              <w:rPr>
                <w:sz w:val="17"/>
              </w:rPr>
              <w:t>Recognizes that adoption is not automatically educational progress.</w:t>
            </w:r>
          </w:p>
        </w:tc>
        <w:tc>
          <w:tcPr>
            <w:tcW w:type="dxa" w:w="3600"/>
            <w:vAlign w:val="center"/>
            <w:tcMar>
              <w:top w:w="105" w:type="dxa"/>
              <w:start w:w="105" w:type="dxa"/>
              <w:bottom w:w="105" w:type="dxa"/>
              <w:end w:w="105" w:type="dxa"/>
            </w:tcMar>
            <w:shd w:fill="F3F6F8"/>
          </w:tcPr>
          <w:p>
            <w:r>
              <w:rPr>
                <w:sz w:val="17"/>
              </w:rPr>
              <w:t>Practical alternatives and protections require implementation evidence.</w:t>
            </w:r>
          </w:p>
        </w:tc>
      </w:tr>
      <w:tr>
        <w:tc>
          <w:tcPr>
            <w:tcW w:type="dxa" w:w="2592"/>
            <w:vAlign w:val="center"/>
            <w:tcMar>
              <w:top w:w="105" w:type="dxa"/>
              <w:start w:w="105" w:type="dxa"/>
              <w:bottom w:w="105" w:type="dxa"/>
              <w:end w:w="105" w:type="dxa"/>
            </w:tcMar>
          </w:tcPr>
          <w:p>
            <w:r>
              <w:rPr>
                <w:sz w:val="17"/>
              </w:rPr>
              <w:t>Trustworthiness and disclosure</w:t>
            </w:r>
          </w:p>
        </w:tc>
        <w:tc>
          <w:tcPr>
            <w:tcW w:type="dxa" w:w="4608"/>
            <w:vAlign w:val="center"/>
            <w:tcMar>
              <w:top w:w="105" w:type="dxa"/>
              <w:start w:w="105" w:type="dxa"/>
              <w:bottom w:w="105" w:type="dxa"/>
              <w:end w:w="105" w:type="dxa"/>
            </w:tcMar>
          </w:tcPr>
          <w:p>
            <w:r>
              <w:rPr>
                <w:sz w:val="17"/>
              </w:rPr>
              <w:t>Extends transparency obligations to institutional and faculty AI use, not only students.</w:t>
            </w:r>
          </w:p>
        </w:tc>
        <w:tc>
          <w:tcPr>
            <w:tcW w:type="dxa" w:w="3600"/>
            <w:vAlign w:val="center"/>
            <w:tcMar>
              <w:top w:w="105" w:type="dxa"/>
              <w:start w:w="105" w:type="dxa"/>
              <w:bottom w:w="105" w:type="dxa"/>
              <w:end w:w="105" w:type="dxa"/>
            </w:tcMar>
          </w:tcPr>
          <w:p>
            <w:r>
              <w:rPr>
                <w:sz w:val="17"/>
              </w:rPr>
              <w:t>Enforcement, vendor auditing, and student remedies remain to be tested.</w:t>
            </w:r>
          </w:p>
        </w:tc>
      </w:tr>
      <w:tr>
        <w:tc>
          <w:tcPr>
            <w:tcW w:type="dxa" w:w="2592"/>
            <w:vAlign w:val="center"/>
            <w:tcMar>
              <w:top w:w="105" w:type="dxa"/>
              <w:start w:w="105" w:type="dxa"/>
              <w:bottom w:w="105" w:type="dxa"/>
              <w:end w:w="105" w:type="dxa"/>
            </w:tcMar>
            <w:shd w:fill="F3F6F8"/>
          </w:tcPr>
          <w:p>
            <w:r>
              <w:rPr>
                <w:sz w:val="17"/>
              </w:rPr>
              <w:t>Active demanding learning</w:t>
            </w:r>
          </w:p>
        </w:tc>
        <w:tc>
          <w:tcPr>
            <w:tcW w:type="dxa" w:w="4608"/>
            <w:vAlign w:val="center"/>
            <w:tcMar>
              <w:top w:w="105" w:type="dxa"/>
              <w:start w:w="105" w:type="dxa"/>
              <w:bottom w:w="105" w:type="dxa"/>
              <w:end w:w="105" w:type="dxa"/>
            </w:tcMar>
            <w:shd w:fill="F3F6F8"/>
          </w:tcPr>
          <w:p>
            <w:r>
              <w:rPr>
                <w:sz w:val="17"/>
              </w:rPr>
              <w:t>Directly rejects intellectual outsourcing and recommends process-rich assignments.</w:t>
            </w:r>
          </w:p>
        </w:tc>
        <w:tc>
          <w:tcPr>
            <w:tcW w:type="dxa" w:w="3600"/>
            <w:vAlign w:val="center"/>
            <w:tcMar>
              <w:top w:w="105" w:type="dxa"/>
              <w:start w:w="105" w:type="dxa"/>
              <w:bottom w:w="105" w:type="dxa"/>
              <w:end w:w="105" w:type="dxa"/>
            </w:tcMar>
            <w:shd w:fill="F3F6F8"/>
          </w:tcPr>
          <w:p>
            <w:r>
              <w:rPr>
                <w:sz w:val="17"/>
              </w:rPr>
              <w:t>No minimum systemwide unaided performance standard.</w:t>
            </w:r>
          </w:p>
        </w:tc>
      </w:tr>
      <w:tr>
        <w:tc>
          <w:tcPr>
            <w:tcW w:type="dxa" w:w="2592"/>
            <w:vAlign w:val="center"/>
            <w:tcMar>
              <w:top w:w="105" w:type="dxa"/>
              <w:start w:w="105" w:type="dxa"/>
              <w:bottom w:w="105" w:type="dxa"/>
              <w:end w:w="105" w:type="dxa"/>
            </w:tcMar>
          </w:tcPr>
          <w:p>
            <w:r>
              <w:rPr>
                <w:sz w:val="17"/>
              </w:rPr>
              <w:t>AI literacy in early coursework</w:t>
            </w:r>
          </w:p>
        </w:tc>
        <w:tc>
          <w:tcPr>
            <w:tcW w:type="dxa" w:w="4608"/>
            <w:vAlign w:val="center"/>
            <w:tcMar>
              <w:top w:w="105" w:type="dxa"/>
              <w:start w:w="105" w:type="dxa"/>
              <w:bottom w:w="105" w:type="dxa"/>
              <w:end w:w="105" w:type="dxa"/>
            </w:tcMar>
          </w:tcPr>
          <w:p>
            <w:r>
              <w:rPr>
                <w:sz w:val="17"/>
              </w:rPr>
              <w:t>Could establish a common vocabulary of limits, evidence, and ethical use.</w:t>
            </w:r>
          </w:p>
        </w:tc>
        <w:tc>
          <w:tcPr>
            <w:tcW w:type="dxa" w:w="3600"/>
            <w:vAlign w:val="center"/>
            <w:tcMar>
              <w:top w:w="105" w:type="dxa"/>
              <w:start w:w="105" w:type="dxa"/>
              <w:bottom w:w="105" w:type="dxa"/>
              <w:end w:w="105" w:type="dxa"/>
            </w:tcMar>
          </w:tcPr>
          <w:p>
            <w:r>
              <w:rPr>
                <w:sz w:val="17"/>
              </w:rPr>
              <w:t>Curriculum, reach, assessment, and learning outcomes remain future work.</w:t>
            </w:r>
          </w:p>
        </w:tc>
      </w:tr>
    </w:tbl>
    <w:p/>
    <w:p>
      <w:pPr>
        <w:pStyle w:val="Title"/>
      </w:pPr>
      <w:r>
        <w:t>Comparison against the formation benchmarks</w:t>
      </w:r>
    </w:p>
    <w:tbl>
      <w:tblPr>
        <w:tblStyle w:val="TableGrid"/>
        <w:tblW w:type="auto" w:w="0"/>
        <w:jc w:val="center"/>
        <w:tblLook w:firstColumn="1" w:firstRow="1" w:lastColumn="0" w:lastRow="0" w:noHBand="0" w:noVBand="1" w:val="04A0"/>
      </w:tblPr>
      <w:tblGrid>
        <w:gridCol w:w="1999"/>
        <w:gridCol w:w="1999"/>
        <w:gridCol w:w="1999"/>
        <w:gridCol w:w="1999"/>
        <w:gridCol w:w="1999"/>
      </w:tblGrid>
      <w:tr>
        <w:trPr>
          <w:tblHeader w:val="true"/>
        </w:trPr>
        <w:tc>
          <w:tcPr>
            <w:tcW w:type="dxa" w:w="2088"/>
            <w:shd w:fill="17324D"/>
            <w:tcMar>
              <w:top w:w="105" w:type="dxa"/>
              <w:start w:w="105" w:type="dxa"/>
              <w:bottom w:w="105" w:type="dxa"/>
              <w:end w:w="105" w:type="dxa"/>
            </w:tcMar>
          </w:tcPr>
          <w:p>
            <w:r>
              <w:rPr>
                <w:b/>
                <w:color w:val="FFFFFF"/>
                <w:sz w:val="17"/>
              </w:rPr>
              <w:t>Test</w:t>
            </w:r>
          </w:p>
        </w:tc>
        <w:tc>
          <w:tcPr>
            <w:tcW w:type="dxa" w:w="2160"/>
            <w:shd w:fill="17324D"/>
            <w:tcMar>
              <w:top w:w="105" w:type="dxa"/>
              <w:start w:w="105" w:type="dxa"/>
              <w:bottom w:w="105" w:type="dxa"/>
              <w:end w:w="105" w:type="dxa"/>
            </w:tcMar>
          </w:tcPr>
          <w:p>
            <w:r>
              <w:rPr>
                <w:b/>
                <w:color w:val="FFFFFF"/>
                <w:sz w:val="17"/>
              </w:rPr>
              <w:t>CDE</w:t>
            </w:r>
          </w:p>
        </w:tc>
        <w:tc>
          <w:tcPr>
            <w:tcW w:type="dxa" w:w="2160"/>
            <w:shd w:fill="17324D"/>
            <w:tcMar>
              <w:top w:w="105" w:type="dxa"/>
              <w:start w:w="105" w:type="dxa"/>
              <w:bottom w:w="105" w:type="dxa"/>
              <w:end w:w="105" w:type="dxa"/>
            </w:tcMar>
          </w:tcPr>
          <w:p>
            <w:r>
              <w:rPr>
                <w:b/>
                <w:color w:val="FFFFFF"/>
                <w:sz w:val="17"/>
              </w:rPr>
              <w:t>Community Colleges</w:t>
            </w:r>
          </w:p>
        </w:tc>
        <w:tc>
          <w:tcPr>
            <w:tcW w:type="dxa" w:w="2160"/>
            <w:shd w:fill="17324D"/>
            <w:tcMar>
              <w:top w:w="105" w:type="dxa"/>
              <w:start w:w="105" w:type="dxa"/>
              <w:bottom w:w="105" w:type="dxa"/>
              <w:end w:w="105" w:type="dxa"/>
            </w:tcMar>
          </w:tcPr>
          <w:p>
            <w:r>
              <w:rPr>
                <w:b/>
                <w:color w:val="FFFFFF"/>
                <w:sz w:val="17"/>
              </w:rPr>
              <w:t>CSU</w:t>
            </w:r>
          </w:p>
        </w:tc>
        <w:tc>
          <w:tcPr>
            <w:tcW w:type="dxa" w:w="2160"/>
            <w:shd w:fill="17324D"/>
            <w:tcMar>
              <w:top w:w="105" w:type="dxa"/>
              <w:start w:w="105" w:type="dxa"/>
              <w:bottom w:w="105" w:type="dxa"/>
              <w:end w:w="105" w:type="dxa"/>
            </w:tcMar>
          </w:tcPr>
          <w:p>
            <w:r>
              <w:rPr>
                <w:b/>
                <w:color w:val="FFFFFF"/>
                <w:sz w:val="17"/>
              </w:rPr>
              <w:t>UC</w:t>
            </w:r>
          </w:p>
        </w:tc>
      </w:tr>
      <w:tr>
        <w:tc>
          <w:tcPr>
            <w:tcW w:type="dxa" w:w="2088"/>
            <w:vAlign w:val="center"/>
            <w:tcMar>
              <w:top w:w="105" w:type="dxa"/>
              <w:start w:w="105" w:type="dxa"/>
              <w:bottom w:w="105" w:type="dxa"/>
              <w:end w:w="105" w:type="dxa"/>
            </w:tcMar>
          </w:tcPr>
          <w:p>
            <w:r>
              <w:rPr>
                <w:sz w:val="17"/>
              </w:rPr>
              <w:t>Clear human end</w:t>
            </w:r>
          </w:p>
        </w:tc>
        <w:tc>
          <w:tcPr>
            <w:tcW w:type="dxa" w:w="2160"/>
            <w:vAlign w:val="center"/>
            <w:tcMar>
              <w:top w:w="105" w:type="dxa"/>
              <w:start w:w="105" w:type="dxa"/>
              <w:bottom w:w="105" w:type="dxa"/>
              <w:end w:w="105" w:type="dxa"/>
            </w:tcMar>
          </w:tcPr>
          <w:p>
            <w:r>
              <w:rPr>
                <w:sz w:val="17"/>
              </w:rPr>
              <w:t>Human learning, creativity, purpose, connection</w:t>
            </w:r>
          </w:p>
        </w:tc>
        <w:tc>
          <w:tcPr>
            <w:tcW w:type="dxa" w:w="2160"/>
            <w:vAlign w:val="center"/>
            <w:tcMar>
              <w:top w:w="105" w:type="dxa"/>
              <w:start w:w="105" w:type="dxa"/>
              <w:bottom w:w="105" w:type="dxa"/>
              <w:end w:w="105" w:type="dxa"/>
            </w:tcMar>
          </w:tcPr>
          <w:p>
            <w:r>
              <w:rPr>
                <w:sz w:val="17"/>
              </w:rPr>
              <w:t>Human capacity, equity, success, work</w:t>
            </w:r>
          </w:p>
        </w:tc>
        <w:tc>
          <w:tcPr>
            <w:tcW w:type="dxa" w:w="2160"/>
            <w:vAlign w:val="center"/>
            <w:tcMar>
              <w:top w:w="105" w:type="dxa"/>
              <w:start w:w="105" w:type="dxa"/>
              <w:bottom w:w="105" w:type="dxa"/>
              <w:end w:w="105" w:type="dxa"/>
            </w:tcMar>
          </w:tcPr>
          <w:p>
            <w:r>
              <w:rPr>
                <w:sz w:val="17"/>
              </w:rPr>
              <w:t>Student success and workforce readiness</w:t>
            </w:r>
          </w:p>
        </w:tc>
        <w:tc>
          <w:tcPr>
            <w:tcW w:type="dxa" w:w="2160"/>
            <w:vAlign w:val="center"/>
            <w:tcMar>
              <w:top w:w="105" w:type="dxa"/>
              <w:start w:w="105" w:type="dxa"/>
              <w:bottom w:w="105" w:type="dxa"/>
              <w:end w:w="105" w:type="dxa"/>
            </w:tcMar>
          </w:tcPr>
          <w:p>
            <w:r>
              <w:rPr>
                <w:sz w:val="17"/>
              </w:rPr>
              <w:t>Research, instruction, agency, trust</w:t>
            </w:r>
          </w:p>
        </w:tc>
      </w:tr>
      <w:tr>
        <w:tc>
          <w:tcPr>
            <w:tcW w:type="dxa" w:w="2088"/>
            <w:vAlign w:val="center"/>
            <w:tcMar>
              <w:top w:w="105" w:type="dxa"/>
              <w:start w:w="105" w:type="dxa"/>
              <w:bottom w:w="105" w:type="dxa"/>
              <w:end w:w="105" w:type="dxa"/>
            </w:tcMar>
            <w:shd w:fill="F3F6F8"/>
          </w:tcPr>
          <w:p>
            <w:r>
              <w:rPr>
                <w:sz w:val="17"/>
              </w:rPr>
              <w:t>Protected unaided work</w:t>
            </w:r>
          </w:p>
        </w:tc>
        <w:tc>
          <w:tcPr>
            <w:tcW w:type="dxa" w:w="2160"/>
            <w:vAlign w:val="center"/>
            <w:tcMar>
              <w:top w:w="105" w:type="dxa"/>
              <w:start w:w="105" w:type="dxa"/>
              <w:bottom w:w="105" w:type="dxa"/>
              <w:end w:w="105" w:type="dxa"/>
            </w:tcMar>
            <w:shd w:fill="F3F6F8"/>
          </w:tcPr>
          <w:p>
            <w:r>
              <w:rPr>
                <w:sz w:val="17"/>
              </w:rPr>
              <w:t>Principle stated; minimum undefined</w:t>
            </w:r>
          </w:p>
        </w:tc>
        <w:tc>
          <w:tcPr>
            <w:tcW w:type="dxa" w:w="2160"/>
            <w:vAlign w:val="center"/>
            <w:tcMar>
              <w:top w:w="105" w:type="dxa"/>
              <w:start w:w="105" w:type="dxa"/>
              <w:bottom w:w="105" w:type="dxa"/>
              <w:end w:w="105" w:type="dxa"/>
            </w:tcMar>
            <w:shd w:fill="F3F6F8"/>
          </w:tcPr>
          <w:p>
            <w:r>
              <w:rPr>
                <w:sz w:val="17"/>
              </w:rPr>
              <w:t>Not established systemwide</w:t>
            </w:r>
          </w:p>
        </w:tc>
        <w:tc>
          <w:tcPr>
            <w:tcW w:type="dxa" w:w="2160"/>
            <w:vAlign w:val="center"/>
            <w:tcMar>
              <w:top w:w="105" w:type="dxa"/>
              <w:start w:w="105" w:type="dxa"/>
              <w:bottom w:w="105" w:type="dxa"/>
              <w:end w:w="105" w:type="dxa"/>
            </w:tcMar>
            <w:shd w:fill="F3F6F8"/>
          </w:tcPr>
          <w:p>
            <w:r>
              <w:rPr>
                <w:sz w:val="17"/>
              </w:rPr>
              <w:t>Not established systemwide</w:t>
            </w:r>
          </w:p>
        </w:tc>
        <w:tc>
          <w:tcPr>
            <w:tcW w:type="dxa" w:w="2160"/>
            <w:vAlign w:val="center"/>
            <w:tcMar>
              <w:top w:w="105" w:type="dxa"/>
              <w:start w:w="105" w:type="dxa"/>
              <w:bottom w:w="105" w:type="dxa"/>
              <w:end w:w="105" w:type="dxa"/>
            </w:tcMar>
            <w:shd w:fill="F3F6F8"/>
          </w:tcPr>
          <w:p>
            <w:r>
              <w:rPr>
                <w:sz w:val="17"/>
              </w:rPr>
              <w:t>Faculty discretion; minimum undefined</w:t>
            </w:r>
          </w:p>
        </w:tc>
      </w:tr>
      <w:tr>
        <w:tc>
          <w:tcPr>
            <w:tcW w:type="dxa" w:w="2088"/>
            <w:vAlign w:val="center"/>
            <w:tcMar>
              <w:top w:w="105" w:type="dxa"/>
              <w:start w:w="105" w:type="dxa"/>
              <w:bottom w:w="105" w:type="dxa"/>
              <w:end w:w="105" w:type="dxa"/>
            </w:tcMar>
          </w:tcPr>
          <w:p>
            <w:r>
              <w:rPr>
                <w:sz w:val="17"/>
              </w:rPr>
              <w:t>Parent or student authority</w:t>
            </w:r>
          </w:p>
        </w:tc>
        <w:tc>
          <w:tcPr>
            <w:tcW w:type="dxa" w:w="2160"/>
            <w:vAlign w:val="center"/>
            <w:tcMar>
              <w:top w:w="105" w:type="dxa"/>
              <w:start w:w="105" w:type="dxa"/>
              <w:bottom w:w="105" w:type="dxa"/>
              <w:end w:w="105" w:type="dxa"/>
            </w:tcMar>
          </w:tcPr>
          <w:p>
            <w:r>
              <w:rPr>
                <w:sz w:val="17"/>
              </w:rPr>
              <w:t>Parent notice and some consent in model policy</w:t>
            </w:r>
          </w:p>
        </w:tc>
        <w:tc>
          <w:tcPr>
            <w:tcW w:type="dxa" w:w="2160"/>
            <w:vAlign w:val="center"/>
            <w:tcMar>
              <w:top w:w="105" w:type="dxa"/>
              <w:start w:w="105" w:type="dxa"/>
              <w:bottom w:w="105" w:type="dxa"/>
              <w:end w:w="105" w:type="dxa"/>
            </w:tcMar>
          </w:tcPr>
          <w:p>
            <w:r>
              <w:rPr>
                <w:sz w:val="17"/>
              </w:rPr>
              <w:t>Student participation and access emphasized</w:t>
            </w:r>
          </w:p>
        </w:tc>
        <w:tc>
          <w:tcPr>
            <w:tcW w:type="dxa" w:w="2160"/>
            <w:vAlign w:val="center"/>
            <w:tcMar>
              <w:top w:w="105" w:type="dxa"/>
              <w:start w:w="105" w:type="dxa"/>
              <w:bottom w:w="105" w:type="dxa"/>
              <w:end w:w="105" w:type="dxa"/>
            </w:tcMar>
          </w:tcPr>
          <w:p>
            <w:r>
              <w:rPr>
                <w:sz w:val="17"/>
              </w:rPr>
              <w:t>Student access emphasized</w:t>
            </w:r>
          </w:p>
        </w:tc>
        <w:tc>
          <w:tcPr>
            <w:tcW w:type="dxa" w:w="2160"/>
            <w:vAlign w:val="center"/>
            <w:tcMar>
              <w:top w:w="105" w:type="dxa"/>
              <w:start w:w="105" w:type="dxa"/>
              <w:bottom w:w="105" w:type="dxa"/>
              <w:end w:w="105" w:type="dxa"/>
            </w:tcMar>
          </w:tcPr>
          <w:p>
            <w:r>
              <w:rPr>
                <w:sz w:val="17"/>
              </w:rPr>
              <w:t>Consent, transparency, and student data concerns</w:t>
            </w:r>
          </w:p>
        </w:tc>
      </w:tr>
      <w:tr>
        <w:tc>
          <w:tcPr>
            <w:tcW w:type="dxa" w:w="2088"/>
            <w:vAlign w:val="center"/>
            <w:tcMar>
              <w:top w:w="105" w:type="dxa"/>
              <w:start w:w="105" w:type="dxa"/>
              <w:bottom w:w="105" w:type="dxa"/>
              <w:end w:w="105" w:type="dxa"/>
            </w:tcMar>
            <w:shd w:fill="F3F6F8"/>
          </w:tcPr>
          <w:p>
            <w:r>
              <w:rPr>
                <w:sz w:val="17"/>
              </w:rPr>
              <w:t>Truth and verification</w:t>
            </w:r>
          </w:p>
        </w:tc>
        <w:tc>
          <w:tcPr>
            <w:tcW w:type="dxa" w:w="2160"/>
            <w:vAlign w:val="center"/>
            <w:tcMar>
              <w:top w:w="105" w:type="dxa"/>
              <w:start w:w="105" w:type="dxa"/>
              <w:bottom w:w="105" w:type="dxa"/>
              <w:end w:w="105" w:type="dxa"/>
            </w:tcMar>
            <w:shd w:fill="F3F6F8"/>
          </w:tcPr>
          <w:p>
            <w:r>
              <w:rPr>
                <w:sz w:val="17"/>
              </w:rPr>
              <w:t>Strong guidance language</w:t>
            </w:r>
          </w:p>
        </w:tc>
        <w:tc>
          <w:tcPr>
            <w:tcW w:type="dxa" w:w="2160"/>
            <w:vAlign w:val="center"/>
            <w:tcMar>
              <w:top w:w="105" w:type="dxa"/>
              <w:start w:w="105" w:type="dxa"/>
              <w:bottom w:w="105" w:type="dxa"/>
              <w:end w:w="105" w:type="dxa"/>
            </w:tcMar>
            <w:shd w:fill="F3F6F8"/>
          </w:tcPr>
          <w:p>
            <w:r>
              <w:rPr>
                <w:sz w:val="17"/>
              </w:rPr>
              <w:t>Ethical AI literacy</w:t>
            </w:r>
          </w:p>
        </w:tc>
        <w:tc>
          <w:tcPr>
            <w:tcW w:type="dxa" w:w="2160"/>
            <w:vAlign w:val="center"/>
            <w:tcMar>
              <w:top w:w="105" w:type="dxa"/>
              <w:start w:w="105" w:type="dxa"/>
              <w:bottom w:w="105" w:type="dxa"/>
              <w:end w:w="105" w:type="dxa"/>
            </w:tcMar>
            <w:shd w:fill="F3F6F8"/>
          </w:tcPr>
          <w:p>
            <w:r>
              <w:rPr>
                <w:sz w:val="17"/>
              </w:rPr>
              <w:t>Responsible use and training</w:t>
            </w:r>
          </w:p>
        </w:tc>
        <w:tc>
          <w:tcPr>
            <w:tcW w:type="dxa" w:w="2160"/>
            <w:vAlign w:val="center"/>
            <w:tcMar>
              <w:top w:w="105" w:type="dxa"/>
              <w:start w:w="105" w:type="dxa"/>
              <w:bottom w:w="105" w:type="dxa"/>
              <w:end w:w="105" w:type="dxa"/>
            </w:tcMar>
            <w:shd w:fill="F3F6F8"/>
          </w:tcPr>
          <w:p>
            <w:r>
              <w:rPr>
                <w:sz w:val="17"/>
              </w:rPr>
              <w:t>Knowledge, evidence, hallucination, disclosure</w:t>
            </w:r>
          </w:p>
        </w:tc>
      </w:tr>
      <w:tr>
        <w:tc>
          <w:tcPr>
            <w:tcW w:type="dxa" w:w="2088"/>
            <w:vAlign w:val="center"/>
            <w:tcMar>
              <w:top w:w="105" w:type="dxa"/>
              <w:start w:w="105" w:type="dxa"/>
              <w:bottom w:w="105" w:type="dxa"/>
              <w:end w:w="105" w:type="dxa"/>
            </w:tcMar>
          </w:tcPr>
          <w:p>
            <w:r>
              <w:rPr>
                <w:sz w:val="17"/>
              </w:rPr>
              <w:t>Moral judgment</w:t>
            </w:r>
          </w:p>
        </w:tc>
        <w:tc>
          <w:tcPr>
            <w:tcW w:type="dxa" w:w="2160"/>
            <w:vAlign w:val="center"/>
            <w:tcMar>
              <w:top w:w="105" w:type="dxa"/>
              <w:start w:w="105" w:type="dxa"/>
              <w:bottom w:w="105" w:type="dxa"/>
              <w:end w:w="105" w:type="dxa"/>
            </w:tcMar>
          </w:tcPr>
          <w:p>
            <w:r>
              <w:rPr>
                <w:sz w:val="17"/>
              </w:rPr>
              <w:t>Ethical decision-making noted</w:t>
            </w:r>
          </w:p>
        </w:tc>
        <w:tc>
          <w:tcPr>
            <w:tcW w:type="dxa" w:w="2160"/>
            <w:vAlign w:val="center"/>
            <w:tcMar>
              <w:top w:w="105" w:type="dxa"/>
              <w:start w:w="105" w:type="dxa"/>
              <w:bottom w:w="105" w:type="dxa"/>
              <w:end w:w="105" w:type="dxa"/>
            </w:tcMar>
          </w:tcPr>
          <w:p>
            <w:r>
              <w:rPr>
                <w:sz w:val="17"/>
              </w:rPr>
              <w:t>Public values and ethics noted</w:t>
            </w:r>
          </w:p>
        </w:tc>
        <w:tc>
          <w:tcPr>
            <w:tcW w:type="dxa" w:w="2160"/>
            <w:vAlign w:val="center"/>
            <w:tcMar>
              <w:top w:w="105" w:type="dxa"/>
              <w:start w:w="105" w:type="dxa"/>
              <w:bottom w:w="105" w:type="dxa"/>
              <w:end w:w="105" w:type="dxa"/>
            </w:tcMar>
          </w:tcPr>
          <w:p>
            <w:r>
              <w:rPr>
                <w:sz w:val="17"/>
              </w:rPr>
              <w:t>Not a central systemwide formative end</w:t>
            </w:r>
          </w:p>
        </w:tc>
        <w:tc>
          <w:tcPr>
            <w:tcW w:type="dxa" w:w="2160"/>
            <w:vAlign w:val="center"/>
            <w:tcMar>
              <w:top w:w="105" w:type="dxa"/>
              <w:start w:w="105" w:type="dxa"/>
              <w:bottom w:w="105" w:type="dxa"/>
              <w:end w:w="105" w:type="dxa"/>
            </w:tcMar>
          </w:tcPr>
          <w:p>
            <w:r>
              <w:rPr>
                <w:sz w:val="17"/>
              </w:rPr>
              <w:t>Ethical, societal, legal, and disciplinary judgment</w:t>
            </w:r>
          </w:p>
        </w:tc>
      </w:tr>
      <w:tr>
        <w:tc>
          <w:tcPr>
            <w:tcW w:type="dxa" w:w="2088"/>
            <w:vAlign w:val="center"/>
            <w:tcMar>
              <w:top w:w="105" w:type="dxa"/>
              <w:start w:w="105" w:type="dxa"/>
              <w:bottom w:w="105" w:type="dxa"/>
              <w:end w:w="105" w:type="dxa"/>
            </w:tcMar>
            <w:shd w:fill="F3F6F8"/>
          </w:tcPr>
          <w:p>
            <w:r>
              <w:rPr>
                <w:sz w:val="17"/>
              </w:rPr>
              <w:t>Implementation evidence</w:t>
            </w:r>
          </w:p>
        </w:tc>
        <w:tc>
          <w:tcPr>
            <w:tcW w:type="dxa" w:w="2160"/>
            <w:vAlign w:val="center"/>
            <w:tcMar>
              <w:top w:w="105" w:type="dxa"/>
              <w:start w:w="105" w:type="dxa"/>
              <w:bottom w:w="105" w:type="dxa"/>
              <w:end w:w="105" w:type="dxa"/>
            </w:tcMar>
            <w:shd w:fill="F3F6F8"/>
          </w:tcPr>
          <w:p>
            <w:r>
              <w:rPr>
                <w:sz w:val="17"/>
              </w:rPr>
              <w:t>Not comparable statewide</w:t>
            </w:r>
          </w:p>
        </w:tc>
        <w:tc>
          <w:tcPr>
            <w:tcW w:type="dxa" w:w="2160"/>
            <w:vAlign w:val="center"/>
            <w:tcMar>
              <w:top w:w="105" w:type="dxa"/>
              <w:start w:w="105" w:type="dxa"/>
              <w:bottom w:w="105" w:type="dxa"/>
              <w:end w:w="105" w:type="dxa"/>
            </w:tcMar>
            <w:shd w:fill="F3F6F8"/>
          </w:tcPr>
          <w:p>
            <w:r>
              <w:rPr>
                <w:sz w:val="17"/>
              </w:rPr>
              <w:t>Pilots and programs underway</w:t>
            </w:r>
          </w:p>
        </w:tc>
        <w:tc>
          <w:tcPr>
            <w:tcW w:type="dxa" w:w="2160"/>
            <w:vAlign w:val="center"/>
            <w:tcMar>
              <w:top w:w="105" w:type="dxa"/>
              <w:start w:w="105" w:type="dxa"/>
              <w:bottom w:w="105" w:type="dxa"/>
              <w:end w:w="105" w:type="dxa"/>
            </w:tcMar>
            <w:shd w:fill="F3F6F8"/>
          </w:tcPr>
          <w:p>
            <w:r>
              <w:rPr>
                <w:sz w:val="17"/>
              </w:rPr>
              <w:t>Large initiative underway</w:t>
            </w:r>
          </w:p>
        </w:tc>
        <w:tc>
          <w:tcPr>
            <w:tcW w:type="dxa" w:w="2160"/>
            <w:vAlign w:val="center"/>
            <w:tcMar>
              <w:top w:w="105" w:type="dxa"/>
              <w:start w:w="105" w:type="dxa"/>
              <w:bottom w:w="105" w:type="dxa"/>
              <w:end w:w="105" w:type="dxa"/>
            </w:tcMar>
            <w:shd w:fill="F3F6F8"/>
          </w:tcPr>
          <w:p>
            <w:r>
              <w:rPr>
                <w:sz w:val="17"/>
              </w:rPr>
              <w:t>Decentralized and evolving</w:t>
            </w:r>
          </w:p>
        </w:tc>
      </w:tr>
      <w:tr>
        <w:tc>
          <w:tcPr>
            <w:tcW w:type="dxa" w:w="2088"/>
            <w:vAlign w:val="center"/>
            <w:tcMar>
              <w:top w:w="105" w:type="dxa"/>
              <w:start w:w="105" w:type="dxa"/>
              <w:bottom w:w="105" w:type="dxa"/>
              <w:end w:w="105" w:type="dxa"/>
            </w:tcMar>
          </w:tcPr>
          <w:p>
            <w:r>
              <w:rPr>
                <w:sz w:val="17"/>
              </w:rPr>
              <w:t>Outcome evidence</w:t>
            </w:r>
          </w:p>
        </w:tc>
        <w:tc>
          <w:tcPr>
            <w:tcW w:type="dxa" w:w="2160"/>
            <w:vAlign w:val="center"/>
            <w:tcMar>
              <w:top w:w="105" w:type="dxa"/>
              <w:start w:w="105" w:type="dxa"/>
              <w:bottom w:w="105" w:type="dxa"/>
              <w:end w:w="105" w:type="dxa"/>
            </w:tcMar>
          </w:tcPr>
          <w:p>
            <w:r>
              <w:rPr>
                <w:sz w:val="17"/>
              </w:rPr>
              <w:t>Not sufficient for final score</w:t>
            </w:r>
          </w:p>
        </w:tc>
        <w:tc>
          <w:tcPr>
            <w:tcW w:type="dxa" w:w="2160"/>
            <w:vAlign w:val="center"/>
            <w:tcMar>
              <w:top w:w="105" w:type="dxa"/>
              <w:start w:w="105" w:type="dxa"/>
              <w:bottom w:w="105" w:type="dxa"/>
              <w:end w:w="105" w:type="dxa"/>
            </w:tcMar>
          </w:tcPr>
          <w:p>
            <w:r>
              <w:rPr>
                <w:sz w:val="17"/>
              </w:rPr>
              <w:t>Not sufficient for final score</w:t>
            </w:r>
          </w:p>
        </w:tc>
        <w:tc>
          <w:tcPr>
            <w:tcW w:type="dxa" w:w="2160"/>
            <w:vAlign w:val="center"/>
            <w:tcMar>
              <w:top w:w="105" w:type="dxa"/>
              <w:start w:w="105" w:type="dxa"/>
              <w:bottom w:w="105" w:type="dxa"/>
              <w:end w:w="105" w:type="dxa"/>
            </w:tcMar>
          </w:tcPr>
          <w:p>
            <w:r>
              <w:rPr>
                <w:sz w:val="17"/>
              </w:rPr>
              <w:t>Not sufficient for final score</w:t>
            </w:r>
          </w:p>
        </w:tc>
        <w:tc>
          <w:tcPr>
            <w:tcW w:type="dxa" w:w="2160"/>
            <w:vAlign w:val="center"/>
            <w:tcMar>
              <w:top w:w="105" w:type="dxa"/>
              <w:start w:w="105" w:type="dxa"/>
              <w:bottom w:w="105" w:type="dxa"/>
              <w:end w:w="105" w:type="dxa"/>
            </w:tcMar>
          </w:tcPr>
          <w:p>
            <w:r>
              <w:rPr>
                <w:sz w:val="17"/>
              </w:rPr>
              <w:t>Not sufficient for final score</w:t>
            </w:r>
          </w:p>
        </w:tc>
      </w:tr>
    </w:tbl>
    <w:p/>
    <w:p>
      <w:pPr>
        <w:pStyle w:val="Heading1"/>
      </w:pPr>
      <w:r>
        <w:t>Relation to Mother of Divine Grace and Thomas Aquinas College</w:t>
      </w:r>
    </w:p>
    <w:p>
      <w:r>
        <w:t>The contrast is not simply public versus private. It is coherence versus distribution. Mother of Divine Grace and Thomas Aquinas College begin with a defined formative purpose and design a curriculum around it. California’s public systems begin with multiple legal missions, constituencies, disciplines, access obligations, and governance layers. Their pluralism and scale are real strengths, but they make it harder to identify a single educational end and easier to treat policy compliance or technology access as evidence of formation.</w:t>
      </w:r>
    </w:p>
    <w:p>
      <w:r>
        <w:t>The public systems should not imitate a religious curriculum. They can, however, adopt the structural lesson: identify the human capacities that must never be delegated, require repeated practices that cultivate them, preserve visible unaided performance, and measure whether graduates actually possess them.</w:t>
      </w:r>
    </w:p>
    <w:p>
      <w:pPr>
        <w:pStyle w:val="Title"/>
      </w:pPr>
      <w:r>
        <w:t>COVID and mental fitness</w:t>
      </w:r>
    </w:p>
    <w:p>
      <w:r>
        <w:t>The AI transition cannot be evaluated apart from the conditions students carried out of COVID closures. Students with stable attention, regulated habits, supportive families, friendships, adult guidance, and functioning schools were generally better positioned to maintain learning and recover. Students already experiencing family instability, isolation, weak academic habits, anxiety, disengagement, poor connectivity, or limited instruction were more vulnerable to further loss of structure.</w:t>
      </w:r>
    </w:p>
    <w:p>
      <w:r>
        <w:t>This does not justify treating wellness as a vague substitute for education or confusing mental fitness with clinical illness. The systems should distinguish diagnosable conditions from the educational and relational capacities that support learning: attention, emotional regulation, agency, perseverance, belonging, responsibility, and recovery from difficulty.</w:t>
      </w:r>
    </w:p>
    <w:p>
      <w:pPr>
        <w:pStyle w:val="ListBullet"/>
      </w:pPr>
      <w:r>
        <w:t>AI may provide tutoring, translation, accessibility, practice, and timely feedback for students who lost support.</w:t>
      </w:r>
    </w:p>
    <w:p>
      <w:pPr>
        <w:pStyle w:val="ListBullet"/>
      </w:pPr>
      <w:r>
        <w:t>AI may also intensify avoidance, dependency, isolation, surveillance, shortened attention, and the appearance of competence without mastery.</w:t>
      </w:r>
    </w:p>
    <w:p>
      <w:pPr>
        <w:pStyle w:val="ListBullet"/>
      </w:pPr>
      <w:r>
        <w:t>Recovery measures should compare unaided knowledge, attendance, reading stamina, mathematics, writing, persistence, relationships, and student agency—not merely platform use or reported engagement.</w:t>
      </w:r>
    </w:p>
    <w:p>
      <w:pPr>
        <w:pStyle w:val="ListBullet"/>
      </w:pPr>
      <w:r>
        <w:t>Family and student conditions before COVID should be considered when interpreting later outcomes; disruption did not affect all students equally.</w:t>
      </w:r>
    </w:p>
    <w:p>
      <w:pPr>
        <w:pStyle w:val="Title"/>
      </w:pPr>
      <w:r>
        <w:t>Required public system standard</w:t>
      </w:r>
    </w:p>
    <w:p>
      <w:r>
        <w:t>A California standard compatible with the well-formed mind should be technologically open but educationally firm. It should permit institutions and disciplines to choose different tools while requiring each to protect and measure the same core human capacities.</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2520"/>
            <w:shd w:fill="17324D"/>
            <w:tcMar>
              <w:top w:w="105" w:type="dxa"/>
              <w:start w:w="105" w:type="dxa"/>
              <w:bottom w:w="105" w:type="dxa"/>
              <w:end w:w="105" w:type="dxa"/>
            </w:tcMar>
          </w:tcPr>
          <w:p>
            <w:r>
              <w:rPr>
                <w:b/>
                <w:color w:val="FFFFFF"/>
                <w:sz w:val="17"/>
              </w:rPr>
              <w:t>Required element</w:t>
            </w:r>
          </w:p>
        </w:tc>
        <w:tc>
          <w:tcPr>
            <w:tcW w:type="dxa" w:w="8280"/>
            <w:shd w:fill="17324D"/>
            <w:tcMar>
              <w:top w:w="105" w:type="dxa"/>
              <w:start w:w="105" w:type="dxa"/>
              <w:bottom w:w="105" w:type="dxa"/>
              <w:end w:w="105" w:type="dxa"/>
            </w:tcMar>
          </w:tcPr>
          <w:p>
            <w:r>
              <w:rPr>
                <w:b/>
                <w:color w:val="FFFFFF"/>
                <w:sz w:val="17"/>
              </w:rPr>
              <w:t>Operational requirement</w:t>
            </w:r>
          </w:p>
        </w:tc>
      </w:tr>
      <w:tr>
        <w:tc>
          <w:tcPr>
            <w:tcW w:type="dxa" w:w="2520"/>
            <w:vAlign w:val="center"/>
            <w:tcMar>
              <w:top w:w="105" w:type="dxa"/>
              <w:start w:w="105" w:type="dxa"/>
              <w:bottom w:w="105" w:type="dxa"/>
              <w:end w:w="105" w:type="dxa"/>
            </w:tcMar>
          </w:tcPr>
          <w:p>
            <w:r>
              <w:rPr>
                <w:sz w:val="17"/>
              </w:rPr>
              <w:t>Human purpose</w:t>
            </w:r>
          </w:p>
        </w:tc>
        <w:tc>
          <w:tcPr>
            <w:tcW w:type="dxa" w:w="8280"/>
            <w:vAlign w:val="center"/>
            <w:tcMar>
              <w:top w:w="105" w:type="dxa"/>
              <w:start w:w="105" w:type="dxa"/>
              <w:bottom w:w="105" w:type="dxa"/>
              <w:end w:w="105" w:type="dxa"/>
            </w:tcMar>
          </w:tcPr>
          <w:p>
            <w:r>
              <w:rPr>
                <w:sz w:val="17"/>
              </w:rPr>
              <w:t>State what education is forming beyond completion, employability, access, or satisfaction.</w:t>
            </w:r>
          </w:p>
        </w:tc>
      </w:tr>
      <w:tr>
        <w:tc>
          <w:tcPr>
            <w:tcW w:type="dxa" w:w="2520"/>
            <w:vAlign w:val="center"/>
            <w:tcMar>
              <w:top w:w="105" w:type="dxa"/>
              <w:start w:w="105" w:type="dxa"/>
              <w:bottom w:w="105" w:type="dxa"/>
              <w:end w:w="105" w:type="dxa"/>
            </w:tcMar>
            <w:shd w:fill="F3F6F8"/>
          </w:tcPr>
          <w:p>
            <w:r>
              <w:rPr>
                <w:sz w:val="17"/>
              </w:rPr>
              <w:t>Unaided baseline</w:t>
            </w:r>
          </w:p>
        </w:tc>
        <w:tc>
          <w:tcPr>
            <w:tcW w:type="dxa" w:w="8280"/>
            <w:vAlign w:val="center"/>
            <w:tcMar>
              <w:top w:w="105" w:type="dxa"/>
              <w:start w:w="105" w:type="dxa"/>
              <w:bottom w:w="105" w:type="dxa"/>
              <w:end w:w="105" w:type="dxa"/>
            </w:tcMar>
            <w:shd w:fill="F3F6F8"/>
          </w:tcPr>
          <w:p>
            <w:r>
              <w:rPr>
                <w:sz w:val="17"/>
              </w:rPr>
              <w:t>Require recurring demonstrations of reading, memory, calculation, writing, oral explanation, creation, and judgment without AI.</w:t>
            </w:r>
          </w:p>
        </w:tc>
      </w:tr>
      <w:tr>
        <w:tc>
          <w:tcPr>
            <w:tcW w:type="dxa" w:w="2520"/>
            <w:vAlign w:val="center"/>
            <w:tcMar>
              <w:top w:w="105" w:type="dxa"/>
              <w:start w:w="105" w:type="dxa"/>
              <w:bottom w:w="105" w:type="dxa"/>
              <w:end w:w="105" w:type="dxa"/>
            </w:tcMar>
          </w:tcPr>
          <w:p>
            <w:r>
              <w:rPr>
                <w:sz w:val="17"/>
              </w:rPr>
              <w:t>Purpose-bound AI</w:t>
            </w:r>
          </w:p>
        </w:tc>
        <w:tc>
          <w:tcPr>
            <w:tcW w:type="dxa" w:w="8280"/>
            <w:vAlign w:val="center"/>
            <w:tcMar>
              <w:top w:w="105" w:type="dxa"/>
              <w:start w:w="105" w:type="dxa"/>
              <w:bottom w:w="105" w:type="dxa"/>
              <w:end w:w="105" w:type="dxa"/>
            </w:tcMar>
          </w:tcPr>
          <w:p>
            <w:r>
              <w:rPr>
                <w:sz w:val="17"/>
              </w:rPr>
              <w:t>Permit a tool only when its educational purpose and the protected human work are explicit.</w:t>
            </w:r>
          </w:p>
        </w:tc>
      </w:tr>
      <w:tr>
        <w:tc>
          <w:tcPr>
            <w:tcW w:type="dxa" w:w="2520"/>
            <w:vAlign w:val="center"/>
            <w:tcMar>
              <w:top w:w="105" w:type="dxa"/>
              <w:start w:w="105" w:type="dxa"/>
              <w:bottom w:w="105" w:type="dxa"/>
              <w:end w:w="105" w:type="dxa"/>
            </w:tcMar>
            <w:shd w:fill="F3F6F8"/>
          </w:tcPr>
          <w:p>
            <w:r>
              <w:rPr>
                <w:sz w:val="17"/>
              </w:rPr>
              <w:t>Truth protocol</w:t>
            </w:r>
          </w:p>
        </w:tc>
        <w:tc>
          <w:tcPr>
            <w:tcW w:type="dxa" w:w="8280"/>
            <w:vAlign w:val="center"/>
            <w:tcMar>
              <w:top w:w="105" w:type="dxa"/>
              <w:start w:w="105" w:type="dxa"/>
              <w:bottom w:w="105" w:type="dxa"/>
              <w:end w:w="105" w:type="dxa"/>
            </w:tcMar>
            <w:shd w:fill="F3F6F8"/>
          </w:tcPr>
          <w:p>
            <w:r>
              <w:rPr>
                <w:sz w:val="17"/>
              </w:rPr>
              <w:t>Require source verification, uncertainty, error analysis, disclosure, and correction.</w:t>
            </w:r>
          </w:p>
        </w:tc>
      </w:tr>
      <w:tr>
        <w:tc>
          <w:tcPr>
            <w:tcW w:type="dxa" w:w="2520"/>
            <w:vAlign w:val="center"/>
            <w:tcMar>
              <w:top w:w="105" w:type="dxa"/>
              <w:start w:w="105" w:type="dxa"/>
              <w:bottom w:w="105" w:type="dxa"/>
              <w:end w:w="105" w:type="dxa"/>
            </w:tcMar>
          </w:tcPr>
          <w:p>
            <w:r>
              <w:rPr>
                <w:sz w:val="17"/>
              </w:rPr>
              <w:t>Human relationships</w:t>
            </w:r>
          </w:p>
        </w:tc>
        <w:tc>
          <w:tcPr>
            <w:tcW w:type="dxa" w:w="8280"/>
            <w:vAlign w:val="center"/>
            <w:tcMar>
              <w:top w:w="105" w:type="dxa"/>
              <w:start w:w="105" w:type="dxa"/>
              <w:bottom w:w="105" w:type="dxa"/>
              <w:end w:w="105" w:type="dxa"/>
            </w:tcMar>
          </w:tcPr>
          <w:p>
            <w:r>
              <w:rPr>
                <w:sz w:val="17"/>
              </w:rPr>
              <w:t>Protect teacher judgment, peer discussion, mentorship, family transparency, and access to a responsible person.</w:t>
            </w:r>
          </w:p>
        </w:tc>
      </w:tr>
      <w:tr>
        <w:tc>
          <w:tcPr>
            <w:tcW w:type="dxa" w:w="2520"/>
            <w:vAlign w:val="center"/>
            <w:tcMar>
              <w:top w:w="105" w:type="dxa"/>
              <w:start w:w="105" w:type="dxa"/>
              <w:bottom w:w="105" w:type="dxa"/>
              <w:end w:w="105" w:type="dxa"/>
            </w:tcMar>
            <w:shd w:fill="F3F6F8"/>
          </w:tcPr>
          <w:p>
            <w:r>
              <w:rPr>
                <w:sz w:val="17"/>
              </w:rPr>
              <w:t>Privacy and governance</w:t>
            </w:r>
          </w:p>
        </w:tc>
        <w:tc>
          <w:tcPr>
            <w:tcW w:type="dxa" w:w="8280"/>
            <w:vAlign w:val="center"/>
            <w:tcMar>
              <w:top w:w="105" w:type="dxa"/>
              <w:start w:w="105" w:type="dxa"/>
              <w:bottom w:w="105" w:type="dxa"/>
              <w:end w:w="105" w:type="dxa"/>
            </w:tcMar>
            <w:shd w:fill="F3F6F8"/>
          </w:tcPr>
          <w:p>
            <w:r>
              <w:rPr>
                <w:sz w:val="17"/>
              </w:rPr>
              <w:t>Authorize tools, minimize data, disclose vendors, audit contracts, preserve alternatives, and define exit rights.</w:t>
            </w:r>
          </w:p>
        </w:tc>
      </w:tr>
      <w:tr>
        <w:tc>
          <w:tcPr>
            <w:tcW w:type="dxa" w:w="2520"/>
            <w:vAlign w:val="center"/>
            <w:tcMar>
              <w:top w:w="105" w:type="dxa"/>
              <w:start w:w="105" w:type="dxa"/>
              <w:bottom w:w="105" w:type="dxa"/>
              <w:end w:w="105" w:type="dxa"/>
            </w:tcMar>
          </w:tcPr>
          <w:p>
            <w:r>
              <w:rPr>
                <w:sz w:val="17"/>
              </w:rPr>
              <w:t>Mental fitness</w:t>
            </w:r>
          </w:p>
        </w:tc>
        <w:tc>
          <w:tcPr>
            <w:tcW w:type="dxa" w:w="8280"/>
            <w:vAlign w:val="center"/>
            <w:tcMar>
              <w:top w:w="105" w:type="dxa"/>
              <w:start w:w="105" w:type="dxa"/>
              <w:bottom w:w="105" w:type="dxa"/>
              <w:end w:w="105" w:type="dxa"/>
            </w:tcMar>
          </w:tcPr>
          <w:p>
            <w:r>
              <w:rPr>
                <w:sz w:val="17"/>
              </w:rPr>
              <w:t>Monitor attention, perseverance, agency, belonging, and dependency without converting every difficulty into diagnosis.</w:t>
            </w:r>
          </w:p>
        </w:tc>
      </w:tr>
      <w:tr>
        <w:tc>
          <w:tcPr>
            <w:tcW w:type="dxa" w:w="2520"/>
            <w:vAlign w:val="center"/>
            <w:tcMar>
              <w:top w:w="105" w:type="dxa"/>
              <w:start w:w="105" w:type="dxa"/>
              <w:bottom w:w="105" w:type="dxa"/>
              <w:end w:w="105" w:type="dxa"/>
            </w:tcMar>
            <w:shd w:fill="F3F6F8"/>
          </w:tcPr>
          <w:p>
            <w:r>
              <w:rPr>
                <w:sz w:val="17"/>
              </w:rPr>
              <w:t>Evidence of benefit</w:t>
            </w:r>
          </w:p>
        </w:tc>
        <w:tc>
          <w:tcPr>
            <w:tcW w:type="dxa" w:w="8280"/>
            <w:vAlign w:val="center"/>
            <w:tcMar>
              <w:top w:w="105" w:type="dxa"/>
              <w:start w:w="105" w:type="dxa"/>
              <w:bottom w:w="105" w:type="dxa"/>
              <w:end w:w="105" w:type="dxa"/>
            </w:tcMar>
            <w:shd w:fill="F3F6F8"/>
          </w:tcPr>
          <w:p>
            <w:r>
              <w:rPr>
                <w:sz w:val="17"/>
              </w:rPr>
              <w:t>Measure durable knowledge, transfer, independent judgment, equity, and long-term outcomes against a credible comparison.</w:t>
            </w:r>
          </w:p>
        </w:tc>
      </w:tr>
      <w:tr>
        <w:tc>
          <w:tcPr>
            <w:tcW w:type="dxa" w:w="2520"/>
            <w:vAlign w:val="center"/>
            <w:tcMar>
              <w:top w:w="105" w:type="dxa"/>
              <w:start w:w="105" w:type="dxa"/>
              <w:bottom w:w="105" w:type="dxa"/>
              <w:end w:w="105" w:type="dxa"/>
            </w:tcMar>
          </w:tcPr>
          <w:p>
            <w:r>
              <w:rPr>
                <w:sz w:val="17"/>
              </w:rPr>
              <w:t>Public accountability</w:t>
            </w:r>
          </w:p>
        </w:tc>
        <w:tc>
          <w:tcPr>
            <w:tcW w:type="dxa" w:w="8280"/>
            <w:vAlign w:val="center"/>
            <w:tcMar>
              <w:top w:w="105" w:type="dxa"/>
              <w:start w:w="105" w:type="dxa"/>
              <w:bottom w:w="105" w:type="dxa"/>
              <w:end w:w="105" w:type="dxa"/>
            </w:tcMar>
          </w:tcPr>
          <w:p>
            <w:r>
              <w:rPr>
                <w:sz w:val="17"/>
              </w:rPr>
              <w:t>Publish adoption, use, cost, incidents, results, disagreements, and corrections in comparable form.</w:t>
            </w:r>
          </w:p>
        </w:tc>
      </w:tr>
    </w:tbl>
    <w:p/>
    <w:p>
      <w:pPr>
        <w:pStyle w:val="Heading1"/>
      </w:pPr>
      <w:r>
        <w:t>Next evidence requests</w:t>
      </w:r>
    </w:p>
    <w:p>
      <w:pPr>
        <w:pStyle w:val="ListBullet"/>
      </w:pPr>
      <w:r>
        <w:t>For CDE: track which local agencies adopt the model policy, what they change, and whether parent notice, consent, unaided work, and outcome reporting follow.</w:t>
      </w:r>
    </w:p>
    <w:p>
      <w:pPr>
        <w:pStyle w:val="ListBullet"/>
      </w:pPr>
      <w:r>
        <w:t>For Community Colleges: obtain HUMANS criteria, pilot designs, vendor agreements, participating courses, learning measures, subgroup outcomes, and independent evaluations.</w:t>
      </w:r>
    </w:p>
    <w:p>
      <w:pPr>
        <w:pStyle w:val="ListBullet"/>
      </w:pPr>
      <w:r>
        <w:t>For CSU: obtain system and campus contracts, privacy reviews, faculty consultation records, course-level rules, training reach, costs, opt-out alternatives, and learning results.</w:t>
      </w:r>
    </w:p>
    <w:p>
      <w:pPr>
        <w:pStyle w:val="ListBullet"/>
      </w:pPr>
      <w:r>
        <w:t>For UC: track implementation of the Academic Senate recommendations, campus procurement, AI-literacy curricula, assignment repositories, disclosure rules, and student remedies.</w:t>
      </w:r>
    </w:p>
    <w:p>
      <w:pPr>
        <w:pStyle w:val="ListBullet"/>
      </w:pPr>
      <w:r>
        <w:t>For all systems: compare pre-COVID, closure-period, recovery-period, and current evidence on learning, attention, attendance, persistence, relationships, wellness, and independent work.</w:t>
      </w:r>
    </w:p>
    <w:p>
      <w:pPr>
        <w:pStyle w:val="Title"/>
      </w:pPr>
      <w:r>
        <w:t>Sources</w:t>
      </w:r>
    </w:p>
    <w:p>
      <w:hyperlink r:id="rId9">
        <w:r>
          <w:rPr>
            <w:color w:val="0563C1"/>
            <w:u w:val="single"/>
          </w:rPr>
          <w:t>California Department of Education AI guidance</w:t>
        </w:r>
      </w:hyperlink>
    </w:p>
    <w:p>
      <w:hyperlink r:id="rId10">
        <w:r>
          <w:rPr>
            <w:color w:val="0563C1"/>
            <w:u w:val="single"/>
          </w:rPr>
          <w:t>California Department of Education model AI policy</w:t>
        </w:r>
      </w:hyperlink>
    </w:p>
    <w:p>
      <w:hyperlink r:id="rId11">
        <w:r>
          <w:rPr>
            <w:color w:val="0563C1"/>
            <w:u w:val="single"/>
          </w:rPr>
          <w:t>California Department of Education AI working group</w:t>
        </w:r>
      </w:hyperlink>
    </w:p>
    <w:p>
      <w:hyperlink r:id="rId12">
        <w:r>
          <w:rPr>
            <w:color w:val="0563C1"/>
            <w:u w:val="single"/>
          </w:rPr>
          <w:t>California Community Colleges AI system overview</w:t>
        </w:r>
      </w:hyperlink>
    </w:p>
    <w:p>
      <w:hyperlink r:id="rId13">
        <w:r>
          <w:rPr>
            <w:color w:val="0563C1"/>
            <w:u w:val="single"/>
          </w:rPr>
          <w:t>California Community Colleges guidance and policy</w:t>
        </w:r>
      </w:hyperlink>
    </w:p>
    <w:p>
      <w:hyperlink r:id="rId14">
        <w:r>
          <w:rPr>
            <w:color w:val="0563C1"/>
            <w:u w:val="single"/>
          </w:rPr>
          <w:t>California State University AI Commons</w:t>
        </w:r>
      </w:hyperlink>
    </w:p>
    <w:p>
      <w:hyperlink r:id="rId15">
        <w:r>
          <w:rPr>
            <w:color w:val="0563C1"/>
            <w:u w:val="single"/>
          </w:rPr>
          <w:t>University of California AI Council</w:t>
        </w:r>
      </w:hyperlink>
    </w:p>
    <w:p>
      <w:hyperlink r:id="rId16">
        <w:r>
          <w:rPr>
            <w:color w:val="0563C1"/>
            <w:u w:val="single"/>
          </w:rPr>
          <w:t>University of California Academic Senate AI report</w:t>
        </w:r>
      </w:hyperlink>
    </w:p>
    <w:p>
      <w:r>
        <w:t>Evidence note: official system materials establish policies, principles, programs, recommendations, governance positions, and reported activities. They do not by themselves verify classroom implementation or causal improvement in learning and judgment.</w:t>
      </w:r>
    </w:p>
    <w:sectPr w:rsidR="00FC693F" w:rsidRPr="0006063C" w:rsidSect="00034616">
      <w:headerReference w:type="default" r:id="rId17"/>
      <w:footerReference w:type="default" r:id="rId18"/>
      <w:pgSz w:w="12240" w:h="15840"/>
      <w:pgMar w:top="864"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Project and Editorial Direction by Patrick Russell  |  Research synthesis assisted by ChatGPT and OpenAI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THE WELL FORMED MIND  |  CALIFORNIA PUBLIC SYSTEMS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de.ca.gov/ci/pl/documents/aiguidance.pdf" TargetMode="External"/><Relationship Id="rId10" Type="http://schemas.openxmlformats.org/officeDocument/2006/relationships/hyperlink" Target="https://www.cde.ca.gov/ci/pl/aipolicy.asp" TargetMode="External"/><Relationship Id="rId11" Type="http://schemas.openxmlformats.org/officeDocument/2006/relationships/hyperlink" Target="https://www.cde.ca.gov/ci/pl/aiineducationworkgroup.asp" TargetMode="External"/><Relationship Id="rId12" Type="http://schemas.openxmlformats.org/officeDocument/2006/relationships/hyperlink" Target="https://ai.cccco.edu/" TargetMode="External"/><Relationship Id="rId13" Type="http://schemas.openxmlformats.org/officeDocument/2006/relationships/hyperlink" Target="https://ai.cccco.edu/guidance-and-policy/" TargetMode="External"/><Relationship Id="rId14" Type="http://schemas.openxmlformats.org/officeDocument/2006/relationships/hyperlink" Target="https://genai.calstate.edu/" TargetMode="External"/><Relationship Id="rId15" Type="http://schemas.openxmlformats.org/officeDocument/2006/relationships/hyperlink" Target="https://ai.universityofcalifornia.edu/" TargetMode="External"/><Relationship Id="rId16" Type="http://schemas.openxmlformats.org/officeDocument/2006/relationships/hyperlink" Target="https://senate.universityofcalifornia.edu/_files/reports/council-chair-to-senate-divisions-senate-ai-workgroup-report.pdf" TargetMode="External"/><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Public Education Systems Audit</dc:title>
  <dc:subject/>
  <dc:creator>Patrick Russell</dc:creator>
  <cp:keywords/>
  <dc:description>generated by python-docx</dc:description>
  <cp:lastModifiedBy/>
  <cp:revision>1</cp:revision>
  <dcterms:created xsi:type="dcterms:W3CDTF">2013-12-23T23:15:00Z</dcterms:created>
  <dcterms:modified xsi:type="dcterms:W3CDTF">2013-12-23T23:15:00Z</dcterms:modified>
  <cp:category/>
</cp:coreProperties>
</file>