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Well Formed Mind</w:t>
      </w:r>
    </w:p>
    <w:p>
      <w:pPr>
        <w:jc w:val="center"/>
      </w:pPr>
      <w:r>
        <w:rPr>
          <w:rFonts w:ascii="Georgia" w:hAnsi="Georgia"/>
          <w:b/>
          <w:sz w:val="32"/>
        </w:rPr>
        <w:t>Truth Ethics Common Sense and Human Agency in the Age of Artificial Intelligence</w:t>
      </w:r>
    </w:p>
    <w:p>
      <w:pPr>
        <w:jc w:val="center"/>
      </w:pPr>
      <w:r>
        <w:rPr>
          <w:rFonts w:ascii="Aptos" w:hAnsi="Aptos"/>
          <w:i/>
          <w:sz w:val="22"/>
        </w:rPr>
        <w:t>A research master on philosophy education institutional power family formation faith and the conditions of responsible freedom</w:t>
      </w:r>
    </w:p>
    <w:p>
      <w:pPr>
        <w:pStyle w:val="DocumentMetadata"/>
        <w:jc w:val="center"/>
      </w:pPr>
      <w:r>
        <w:t>Research master · Evidence current through 9 September 2026</w:t>
      </w:r>
    </w:p>
    <w:p>
      <w:pPr>
        <w:pStyle w:val="DocumentMetadata"/>
        <w:jc w:val="center"/>
      </w:pPr>
      <w:r>
        <w:t>Project and editorial direction by Patrick Russell</w:t>
        <w:br/>
        <w:t>Research synthesis assisted by ChatGPT/OpenAI</w:t>
      </w:r>
    </w:p>
    <w:p>
      <w:pPr>
        <w:spacing w:before="560"/>
        <w:jc w:val="center"/>
      </w:pPr>
      <w:r>
        <w:rPr>
          <w:rFonts w:ascii="Georgia" w:hAnsi="Georgia"/>
          <w:i/>
          <w:sz w:val="28"/>
        </w:rPr>
        <w:t>“The unexamined life is not worth living.”</w:t>
      </w:r>
      <w:r>
        <w:br/>
        <w:t>— Socrates in Plato’s Apology</w:t>
      </w:r>
    </w:p>
    <w:p>
      <w:r>
        <w:br w:type="page"/>
      </w:r>
    </w:p>
    <w:p>
      <w:pPr>
        <w:pStyle w:val="Heading2"/>
      </w:pPr>
      <w:r>
        <w:t>Executive finding</w:t>
      </w:r>
    </w:p>
    <w:p>
      <w:pPr>
        <w:keepLines w:val="0"/>
      </w:pPr>
      <w:r>
        <w:t>America’s educational crisis is not simply a shortage of information. It is a crisis of formation: attention without discipline, knowledge without hierarchy, technique without ethical purpose, choice without judgment, and political passion without the habits needed to test claims. A well-formed mind is educated in truth, disciplined by reason, directed by ethics, strengthened by virtue, grounded in common sense and faith, open to correction, and capable of responsible freedom amid persuasion, technology, and power.</w:t>
      </w:r>
    </w:p>
    <w:p>
      <w:pPr>
        <w:keepLines w:val="0"/>
      </w:pPr>
      <w:r>
        <w:t>The strongest available evidence does not establish that every institution is coordinated by a single hidden hand, nor that every controversial scientific claim is fraudulent. It does establish something more ordinary and therefore more dangerous: institutions can drift through incentives, professional conformity, political pressure, funding dependence, bureaucratic self-protection, commercial surveillance, and the human appetite for status. These mechanisms can amplify honest error into public certainty, turn provisional science into coercive policy, or present ideology as neutral expertise.</w:t>
      </w:r>
    </w:p>
    <w:p>
      <w:pPr>
        <w:keepLines w:val="0"/>
      </w:pPr>
      <w:r>
        <w:t>The decline is measurable but uneven. National assessments show substantial weakness in reading and mathematics, particularly among lower-performing students, while international evidence links classroom distraction and excessive recreational device use with poorer outcomes. These results do not prove that standardized testing, screens, family stress, or ideology alone caused the decline. They do show that a civilization deploying increasingly capable AI cannot assume that basic literacy, numeracy, attention, and judgment will reproduce themselves.</w:t>
      </w:r>
    </w:p>
    <w:p>
      <w:pPr>
        <w:keepLines w:val="0"/>
      </w:pPr>
      <w:r>
        <w:t>The central policy and parental implication is not a nostalgic return to one historical school model. It is the recovery of a formative purpose: cultivate memory, language, mathematical reason, historical consciousness, scientific honesty, moral judgment, practical competence, faith-informed reflection, and the capacity to challenge one’s own side. Great Books belong in that recovery as demanding interlocutors—not as relics, slogans, or a closed tribal canon.</w:t>
      </w:r>
    </w:p>
    <w:p>
      <w:pPr>
        <w:keepLines w:val="0"/>
      </w:pPr>
      <w:r>
        <w:t>AI should enter only after foundational human capacities are protected, and thereafter as an object of study, a tool under disclosure, and an adversary whose answers must be verified.</w:t>
      </w:r>
    </w:p>
    <w:p>
      <w:pPr>
        <w:pStyle w:val="Heading2"/>
      </w:pPr>
      <w:r>
        <w:t>What this investigation will and will not claim</w:t>
      </w:r>
    </w:p>
    <w:p>
      <w:pPr>
        <w:keepLines w:val="0"/>
      </w:pPr>
      <w:r>
        <w:t>Claim discipline Working rule Historical text State what an author actually argued; distinguish text from later interpretation. Established fact Prefer statutes, official records, original datasets, court opinions, and primary publications. Empirical association Do not present correlation as causation; state limits and plausible alternatives. Interpretation Identify it as an inference and show the evidence chain. Moral judgment Name the ethical principle being applied. Projection State assumptions, uncertainty, time horizon, and what would falsify it.</w:t>
      </w:r>
    </w:p>
    <w:p>
      <w:pPr>
        <w:keepLines w:val="0"/>
      </w:pPr>
      <w:r>
        <w:t>Subversion allegation Require evidence of concealed purpose, deceptive means, improper control, or unlawful conduct—not merely disagreement.</w:t>
      </w:r>
    </w:p>
    <w:p>
      <w:pPr>
        <w:pStyle w:val="Heading2"/>
      </w:pPr>
      <w:r>
        <w:t>The governing questions</w:t>
      </w:r>
    </w:p>
    <w:p>
      <w:pPr>
        <w:pStyle w:val="ListBullet"/>
      </w:pPr>
      <w:r>
        <w:t>What is man capable of becoming, and what habits allow reason to govern appetite, fear, resentment, and ambition?</w:t>
      </w:r>
    </w:p>
    <w:p>
      <w:pPr>
        <w:pStyle w:val="ListBullet"/>
      </w:pPr>
      <w:r>
        <w:t>Which institutions cultivate truthfulness, ethical judgment, common sense, and responsible freedom—and which weaken them?</w:t>
      </w:r>
    </w:p>
    <w:p>
      <w:pPr>
        <w:pStyle w:val="ListBullet"/>
      </w:pPr>
      <w:r>
        <w:t>How do funding, political authority, media incentives, foreign influence, credential systems, and algorithms shape what may be taught or questioned?</w:t>
      </w:r>
    </w:p>
    <w:p>
      <w:pPr>
        <w:pStyle w:val="ListBullet"/>
      </w:pPr>
      <w:r>
        <w:t>How can science remain authoritative without becoming an unquestionable political priesthood?</w:t>
      </w:r>
    </w:p>
    <w:p>
      <w:pPr>
        <w:pStyle w:val="ListBullet"/>
      </w:pPr>
      <w:r>
        <w:t>Which reforms of the current administration correct real failures, and where might those reforms overreach, substitute propaganda, or lack measurable results?</w:t>
      </w:r>
    </w:p>
    <w:p>
      <w:pPr>
        <w:pStyle w:val="ListBullet"/>
      </w:pPr>
      <w:r>
        <w:t>What should a child learn at each stage, and what can parents do when schools do not reliably provide it?</w:t>
      </w:r>
    </w:p>
    <w:p>
      <w:pPr>
        <w:pStyle w:val="ListBullet"/>
      </w:pPr>
      <w:r>
        <w:t>How can adults recover agency after serious error, addiction, mental disorder, crime, or moral collapse?</w:t>
      </w:r>
    </w:p>
    <w:p>
      <w:pPr>
        <w:pStyle w:val="Heading1"/>
      </w:pPr>
      <w:r>
        <w:t>1 The philosophical standard</w:t>
      </w:r>
    </w:p>
    <w:p>
      <w:pPr>
        <w:keepLines w:val="0"/>
      </w:pPr>
      <w:r>
        <w:t>The classical question was larger than employability: What kind of person is fit to be free? Socrates begins with examination. In Plato’s Apology, he makes self-scrutiny inseparable from a worthy life.[1] Intellectual humility is not indecision; it is the refusal to pretend that confidence is knowledge. Plato adds an account of psychic order. In the Republic, reason, spirit, and appetite must be harmonized so that neither desire nor anger becomes sovereign. Education is a turning of the whole person toward what is real and good, not the insertion of opinions into an empty container.[2]</w:t>
      </w:r>
    </w:p>
    <w:p>
      <w:pPr>
        <w:keepLines w:val="0"/>
      </w:pPr>
      <w:r>
        <w:t>Aristotle makes formation concrete. Moral virtue arises through habituation: people become just by doing just acts and temperate by practicing temperance.[3] Practical wisdom, or phronesis, is not a formula. It is reason trained to discern the fitting action in particular circumstances. His account corrects two modern errors at once: information alone does not make character, and sincerity alone does not make judgment. The familiar sentence “We are what we repeatedly do” is a later paraphrase associated with Will Durant, not a verbatim sentence from Aristotle.</w:t>
      </w:r>
    </w:p>
    <w:p>
      <w:pPr>
        <w:keepLines w:val="0"/>
      </w:pPr>
      <w:r>
        <w:t>The Stoics—Epictetus, Seneca, and Marcus Aurelius—teach scrutiny of impressions: an event and our judgment about it are not identical. Their discipline is useful against propaganda and algorithmic provocation, though Stoicism can be distorted into emotional suppression. Augustine places the restless heart and disordered love at the center: intelligence is bent when lesser goods are loved as ultimate goods. Aquinas joins classical reason with Christian theology.</w:t>
      </w:r>
    </w:p>
    <w:p>
      <w:pPr>
        <w:keepLines w:val="0"/>
      </w:pPr>
      <w:r>
        <w:t>The intellect seeks truth; the will seeks the good as apprehended; virtue perfects human powers; law should be an ordinance of reason for the common good.[4] Faith, on this account, is neither credulity nor a substitute for nature—it should purify and enlarge reason. The larger conversation complicates and strengthens this inheritance. Confucius emphasizes moral cultivation through learning, ritual, family duty, and exemplary leadership. Mencius treats humane dispositions as capacities needing cultivation; Xunzi stresses the corrective force of education and ritual.</w:t>
      </w:r>
    </w:p>
    <w:p>
      <w:pPr>
        <w:keepLines w:val="0"/>
      </w:pPr>
      <w:r>
        <w:t>Jewish wisdom literature joins knowledge to reverence, speech, work, justice, and self-command. Islamic philosophers such as Al-Farabi and Avicenna preserved and extended ancient inquiry; Averroes pressed questions about reason, revelation, and interpretation.</w:t>
      </w:r>
    </w:p>
    <w:p>
      <w:pPr>
        <w:keepLines w:val="0"/>
      </w:pPr>
      <w:r>
        <w:t>Modern thinkers add warnings: Locke about consent and toleration, Burke about inherited social knowledge, Tocqueville about democratic conformity, Mill about intellectual liberty, Dostoevsky about rationalized cruelty, Arendt about thoughtlessness, Orwell about political language, Lewis about education severed from objective value, and Solzhenitsyn about the civilizational cost of living by lies.</w:t>
      </w:r>
    </w:p>
    <w:p>
      <w:pPr>
        <w:pStyle w:val="Heading2"/>
      </w:pPr>
      <w:r>
        <w:t>A working anatomy of the well-formed mind</w:t>
      </w:r>
    </w:p>
    <w:p>
      <w:pPr>
        <w:keepLines w:val="0"/>
      </w:pPr>
      <w:r>
        <w:t>Power Formation sought Characteristic failure Attention Sustained presence; perception before reaction Distraction, compulsion, manipulation Memory and knowledge A store of language, number, history, nature, and inherited wisdom Presentism; dependence on search or AI Reason Logic, comparison, causal restraint, dialectic Fallacy, rationalization, slogan Will and appetite Self-government ordered toward worthy ends Addiction, cowardice, domination Ethics and virtue Habitual truthfulness, justice, courage, temperance, prudence Technique without conscience Common sense Reality-testing informed by experience and proportion Naïveté or cynical “gut feeling” Imagination and beauty Ability to apprehend possibility, tragedy, order, and delight Propaganda, ugliness, fantasy escape</w:t>
      </w:r>
    </w:p>
    <w:p>
      <w:pPr>
        <w:keepLines w:val="0"/>
      </w:pPr>
      <w:r>
        <w:t>Power Formation sought Characteristic failure Faith and meaning Ultimate orientation, humility, repentance, hope Fanaticism, nihilism, idolatry Embodiment and work Physical competence, stewardship, limits, service Disembodied abstraction Relationship and love Reciprocity, loyalty, mercy, generativity Isolation, exploitation, narcissism</w:t>
      </w:r>
    </w:p>
    <w:p>
      <w:pPr>
        <w:pStyle w:val="Heading2"/>
      </w:pPr>
      <w:r>
        <w:t>A developmental and causal model of formation</w:t>
      </w:r>
    </w:p>
    <w:p>
      <w:pPr>
        <w:keepLines w:val="0"/>
      </w:pPr>
      <w:r>
        <w:t>A well-formed mind is not produced by one curriculum, institution, or technology. It develops through repeated interactions among temperament, attachment, family order, language, friendship, teaching, community, faith, work, adversity, and personal choice. These influences are cumulative but not mechanically determinative. Early strength can be damaged, early vulnerability can be repaired, and people remain capable of reflection, repentance, learning, and renewed agency. The investigation will test a mediated pathway rather than assign every outcome to a single cause.</w:t>
      </w:r>
    </w:p>
    <w:p>
      <w:pPr>
        <w:keepLines w:val="0"/>
      </w:pPr>
      <w:r>
        <w:t>Conditions first affect regulation, trust, attention, belonging, knowledge, habits, and purpose. Those capacities then influence whether a person can examine evidence, govern appetite and emotion, sustain relationships, resist manipulation, and act responsibly. Institutions and technologies matter because they can reinforce or disrupt these intermediate capacities.</w:t>
      </w:r>
    </w:p>
    <w:p>
      <w:pPr>
        <w:keepLines w:val="0"/>
      </w:pPr>
      <w:r>
        <w:t>Stage Formative settings Capacities under development Risks to examine Early childhood Attachment, safety, language, imitation, routine, play Trust, emotional regulation, attention, speech Chronic instability, neglect, fear, inconsistent care Middle childhood Family discipline, reading, school, friendship, worship, practical responsibility Memory, habits, belonging, competence, fairness Academic failure, isolation, chaotic routines, passive screen use Adolescence Peers, mentors, demanding study, identity, work, service, moral limits Independent judgment, self-command, loyalty, purpose Status anxiety, ideological conformity, addiction, algorithmic pressure Adulthood Work, marriage and family, civic life, continued study, hardship, accountability Practical wisdom, responsibility, correction, generativity Isolation, resentment, dependency, institutional or technological substitution Disruption and recovery Illness, loss, economic pressure, social rupture, therapy, friendship, faith, education Resilience, help-seeking, reinterpretation, restored agency Compounding stress, withdrawal, learned helplessness, loss of purpose</w:t>
      </w:r>
    </w:p>
    <w:p>
      <w:pPr>
        <w:pStyle w:val="Heading2"/>
      </w:pPr>
      <w:r>
        <w:t>The causal sequence to test</w:t>
      </w:r>
    </w:p>
    <w:p>
      <w:pPr>
        <w:pStyle w:val="ListBullet"/>
      </w:pPr>
      <w:r>
        <w:t>Background conditions: temperament, health, family stability, material security, culture, and prior learning shape exposure but do not dictate destiny.</w:t>
      </w:r>
    </w:p>
    <w:p>
      <w:pPr>
        <w:pStyle w:val="ListBullet"/>
      </w:pPr>
      <w:r>
        <w:t>Formative processes: attachment, example, conversation, reading, practice, discipline, friendship, worship, play, work, and correction build or weaken the capacities needed for self-government.</w:t>
      </w:r>
    </w:p>
    <w:p>
      <w:pPr>
        <w:pStyle w:val="ListBullet"/>
      </w:pPr>
      <w:r>
        <w:t>Mediating capacities: emotional regulation, attention, memory, knowledge, trust, belonging, moral purpose, and tolerance of uncertainty connect environments to later judgment and conduct.</w:t>
      </w:r>
    </w:p>
    <w:p>
      <w:pPr>
        <w:pStyle w:val="ListBullet"/>
      </w:pPr>
      <w:r>
        <w:t>Stress tests: family conflict, academic failure, illness, COVID-19, economic insecurity, propaganda, social media, and rapid technological change reveal or intensify existing strengths and vulnerabilities.</w:t>
      </w:r>
    </w:p>
    <w:p>
      <w:pPr>
        <w:pStyle w:val="ListBullet"/>
      </w:pPr>
      <w:r>
        <w:t>Outcomes: the relevant measures include independent reasoning, truthful speech, sustained work, healthy relationships, lawful responsibility, resilience, learning after error, and performance when assistance is removed.</w:t>
      </w:r>
    </w:p>
    <w:p>
      <w:pPr>
        <w:pStyle w:val="ListBullet"/>
      </w:pPr>
      <w:r>
        <w:t>Feedback and recovery: harmful outcomes may further weaken relationships and agency, while trustworthy adults, treatment, education, faith, disciplined practice, and meaningful responsibility may interrupt the cycle. No single indicator will be treated as proof of a well-formed or malformed mind. The evidence must examine patterns over time, plausible mechanisms, alternative explanations, subgroup differences, and the person's capacity for correction. Poverty, disability, trauma, neurodiversity, or mental illness must not be confused with moral or intellectual failure.</w:t>
      </w:r>
    </w:p>
    <w:p>
      <w:pPr>
        <w:pStyle w:val="Heading2"/>
      </w:pPr>
      <w:r>
        <w:t>Common sense is necessary but not self-authenticating</w:t>
      </w:r>
    </w:p>
    <w:p>
      <w:pPr>
        <w:keepLines w:val="0"/>
      </w:pPr>
      <w:r>
        <w:t>Common sense means the disciplined ability to notice obvious realities, judge proportion, connect actions to consequences, and resist explanations that require denial of ordinary experience. Yet “common sense” can also conceal prejudice, ignorance, or a merely partisan instinct. Its test is whether it survives contact with evidence, coherent reasoning, counterexample, experienced practice, and moral principle. A well-formed person can say both “the experts may be wrong” and “my first impression may be wrong.”</w:t>
      </w:r>
    </w:p>
    <w:p>
      <w:pPr>
        <w:pStyle w:val="Heading1"/>
      </w:pPr>
      <w:r>
        <w:t>2 The Great Books as a method, not a museum</w:t>
      </w:r>
    </w:p>
    <w:p>
      <w:pPr>
        <w:keepLines w:val="0"/>
      </w:pPr>
      <w:r>
        <w:t>The Great Books tradition is best understood as participation in a long argument about permanent questions: What is justice? What is a human being? What is knowledge? What makes authority legitimate? What do parents owe children? What is freedom for? The canon is valuable because its works have unusual intellectual fertility and historical influence, not because every proposition in them is true.</w:t>
      </w:r>
    </w:p>
    <w:p>
      <w:pPr>
        <w:keepLines w:val="0"/>
      </w:pPr>
      <w:r>
        <w:t>Homer, the tragedians, Plato, Aristotle, Scripture, Augustine, Aquinas, Dante, Shakespeare, Cervantes, Bacon, Descartes, Hobbes, Locke, Newton, Rousseau, Smith, the American Founders, Austen, Tocqueville, Darwin, Dostoevsky, Marx, Nietzsche, Freud, Du Bois, Orwell, Lewis, Arendt, and others should be read in argument with one another and with voices outside the conventional Western list. Original scientific and mathematical works are essential to this method.</w:t>
      </w:r>
    </w:p>
    <w:p>
      <w:pPr>
        <w:keepLines w:val="0"/>
      </w:pPr>
      <w:r>
        <w:t>Euclid displays proof; Galileo links measurement and mathematical description; Newton shows extraordinary synthesis; Darwin shows cumulative inference from evidence; Mendel shows experimental pattern; Faraday and Maxwell reveal how conceptual models can reorganize phenomena; Einstein shows that even powerful frameworks can be revised. Reading originals reveals uncertainty, false starts, and argument—an antidote to the textbook illusion that knowledge arrives fully settled.</w:t>
      </w:r>
    </w:p>
    <w:p>
      <w:pPr>
        <w:keepLines w:val="0"/>
      </w:pPr>
      <w:r>
        <w:t>A serious program therefore uses four moves: read the primary text closely; reconstruct the strongest argument; submit it to objections; apply it to a present problem without pretending the contexts are identical. It also asks what is missing from the traditional canon and why. Expansion should deepen the conversation rather than replace durable works with transient ideological fashion.</w:t>
      </w:r>
    </w:p>
    <w:p>
      <w:pPr>
        <w:pStyle w:val="Heading1"/>
      </w:pPr>
      <w:r>
        <w:t>3 Diagnosis of the present educational condition</w:t>
      </w:r>
    </w:p>
    <w:p>
      <w:pPr>
        <w:keepLines w:val="0"/>
      </w:pPr>
      <w:r>
        <w:t>The evidence warrants concern without supporting a simple golden-age story. In the 2024 National Assessment of Educational Progress, fourth-grade reading averaged two points below 2022 and five below 2019; 31 percent reached NAEP Proficient or above. Fourth-grade mathematics improved from 2022 but remained below 2019, with 39 percent Proficient or above and 24 percent below Basic.[5] The 2024 twelfth-</w:t>
      </w:r>
    </w:p>
    <w:p>
      <w:pPr>
        <w:keepLines w:val="0"/>
      </w:pPr>
      <w:r>
        <w:t>grade reading and mathematics results were the lowest reported for their respective assessments, and both averages were down from 2019.[6] NAEP Proficient is a demanding standard and is not identical to grade-level proficiency, but the trend and the widening weakness among lower performers are difficult to dismiss. International evidence adds a problem of attention.</w:t>
      </w:r>
    </w:p>
    <w:p>
      <w:pPr>
        <w:keepLines w:val="0"/>
      </w:pPr>
      <w:r>
        <w:t>OECD analysis of PISA 2022 reported that about 30 percent of students said digital devices distracted them in most or every mathematics lesson; heavier leisure use of devices at school was associated with lower mathematics performance and weaker belonging. Stronger family support was associated with less distraction.[7] These are associations, not a randomized demonstration that every device causes lower achievement. They nevertheless align with a plausible mechanism: fragmented attention makes sustained reading, multi-step reasoning, and memory consolidation harder.</w:t>
      </w:r>
    </w:p>
    <w:p>
      <w:pPr>
        <w:keepLines w:val="0"/>
      </w:pPr>
      <w:r>
        <w:t>The false choice between memorization and thinking should be rejected. Reasoning depends on background knowledge held in memory; memory becomes useful when organized through concepts and applied in inquiry. Evidence-based learning guidance supports spaced practice, retrieval, worked examples, and connecting abstract representations to concrete cases.[8] The educational goal is neither worksheet compliance nor vague “critical thinking,” but knowledge-rich judgment.</w:t>
      </w:r>
    </w:p>
    <w:p>
      <w:pPr>
        <w:pStyle w:val="Heading2"/>
      </w:pPr>
      <w:r>
        <w:t>Formation, support, distraction, or deformation</w:t>
      </w:r>
    </w:p>
    <w:p>
      <w:pPr>
        <w:keepLines w:val="0"/>
      </w:pPr>
      <w:r>
        <w:t>Field or practice Formative potential Failure mode Audit question Literature and history Moral imagination, memory, context, judgment Presentism; propaganda; identity reduction Are primary texts and rival interpretations encountered? Philosophy and theology First principles, ethics, meaning, logical discipline Jargon; sectarian closure; abstraction from life Must students defend and revise claims? Mathematics Exactness, proof, proportion, patience Procedural mimicry; calculator dependence Can the student explain why a method works?</w:t>
      </w:r>
    </w:p>
    <w:p>
      <w:pPr>
        <w:keepLines w:val="0"/>
      </w:pPr>
      <w:r>
        <w:t>Natural science Observation, experiment, causal humility Scientism; politicized certainty; replication neglect Are uncertainty, methods, and counterevidence visible? Social science Patterns in institutions and behavior Weak measurement; moral claims disguised as data Are constructs, incentives, effect sizes, and limits clear? Technology and engineering Making, modeling, systems, productive power Efficiency detached from ends; surveillance Who benefits, who bears risk, and who remains accountable?</w:t>
      </w:r>
    </w:p>
    <w:p>
      <w:pPr>
        <w:keepLines w:val="0"/>
      </w:pPr>
      <w:r>
        <w:t>Arts and craft Attention, beauty, embodiment, tradition, originality Pure self-expression or commercial trend Does practice submit feeling to form and mastery? Civics and economics Institutions, tradeoffs, incentives, stewardship Partisan catechism; simplistic models Can students analyze both power and constraints? Vocational learning Competence, service, responsibility, real consequences Low-status tracking; narrow job training Does it preserve intellectual and civic formation?</w:t>
      </w:r>
    </w:p>
    <w:p>
      <w:pPr>
        <w:pStyle w:val="Heading1"/>
      </w:pPr>
      <w:r>
        <w:t>4 Who governs what children learn</w:t>
      </w:r>
    </w:p>
    <w:p>
      <w:pPr>
        <w:keepLines w:val="0"/>
      </w:pPr>
      <w:r>
        <w:t>The phrase “the education system” can hide distributed power. The U.S. Department of Education itself states that education is primarily a state and local responsibility; states and communities establish schools, curricula, enrollment rules, and graduation requirements.[9] Federal power is nevertheless significant through civil-rights enforcement, grants, conditions on funding, research, data, and administrative guidance.</w:t>
      </w:r>
    </w:p>
    <w:p>
      <w:pPr>
        <w:keepLines w:val="0"/>
      </w:pPr>
      <w:r>
        <w:t>State legislatures, governors, boards, agencies, local boards, superintendents, principals, teachers, unions, courts, accreditors, colleges of education, testing companies, curriculum publishers, philanthropies, and</w:t>
      </w:r>
    </w:p>
    <w:p>
      <w:pPr>
        <w:keepLines w:val="0"/>
      </w:pPr>
      <w:r>
        <w:t>technology vendors all shape the classroom. Parents possess legal, electoral, market, and relational power, but the practical cost of exercising it varies greatly.</w:t>
      </w:r>
    </w:p>
    <w:p>
      <w:pPr>
        <w:keepLines w:val="0"/>
      </w:pPr>
      <w:r>
        <w:t>Layer Principal leverage What parents should inspect Federal government Funding conditions, civil rights, data, guidance Statutory authority, grant terms, enforcement letters State government Standards, testing, licensure, graduation, funding formulas Standards, bills, board minutes, approved materials Local board and district Curriculum adoption, policy, staffing, library, contracts Agendas, budgets, vendor contracts, surveys, opt-outs Professional ecosystem Teacher preparation, accreditation, unions, associations Training modules, standards, bargaining agreements Commercial and nonprofit sector Platforms, assessments, philanthropy, content Data terms, donor restrictions, algorithms, conflicts Classroom and home Instruction, relationships, habits, interpretation Actual assignments, feedback, student understanding A curriculum can indoctrinate from the left, right, secular, religious, nationalist, or anti-nationalist direction.</w:t>
      </w:r>
    </w:p>
    <w:p>
      <w:pPr>
        <w:keepLines w:val="0"/>
      </w:pPr>
      <w:r>
        <w:t>The defining feature is not the conclusion but the method: forbidden questions, concealed premises, compelled assent, selective evidence, moralized identity, punishment for honest dissent, or insulation from falsification. Education makes reasons visible and gives students increasingly responsible access to counterargument. Indoctrination engineers assent.</w:t>
      </w:r>
    </w:p>
    <w:p>
      <w:pPr>
        <w:pStyle w:val="Heading1"/>
      </w:pPr>
      <w:r>
        <w:t>5 Institutional capture and the evidence of subversion</w:t>
      </w:r>
    </w:p>
    <w:p>
      <w:pPr>
        <w:keepLines w:val="0"/>
      </w:pPr>
      <w:r>
        <w:t>Institutional capture rarely announces itself. It may be financial, bureaucratic, ideological, technological, or geopolitical. A university can become dependent on a donor; a regulator can become deferential to an industry; an agency can protect its reputation; a platform can optimize outrage; a professional guild can make dissent career-threatening; a political administration can place preferred conclusions ahead of inquiry. None of these possibilities should be presumed. Each requires a traceable chain.</w:t>
      </w:r>
    </w:p>
    <w:p>
      <w:pPr>
        <w:keepLines w:val="0"/>
      </w:pPr>
      <w:r>
        <w:t>Category Minimum evidence What it does not prove by itself Conflict of interest Relevant financial or professional tie That the resulting claim is false Coordinated influence Communications, agreements, common direction That all participants share every motive Political capture Use of public authority to dictate or suppress a conclusion That all agency personnel consented Foreign influence Reportable funding, contract terms, access, direction, concealment That foreign collaboration is inherently corrupt Subversion Concealed purpose plus deceptive or coercive means aimed at institutional displacement That unpopular advocacy is subversion Criminal malfeasance Elements of a defined offense supported by admissible evidence That poor judgment or bias is criminal Foreign funding illustrates the distinction.</w:t>
      </w:r>
    </w:p>
    <w:p>
      <w:pPr>
        <w:keepLines w:val="0"/>
      </w:pPr>
      <w:r>
        <w:t>Section 117 of the Higher Education Act requires certain disclosures of foreign gifts and contracts; the current administration has intensified enforcement and transparency efforts.[10] Disclosure can reveal risks and enable scrutiny. It does not establish that every recipient was controlled, that research findings were purchased, or that collaboration with foreign scholars is disloyal. The decisive questions concern terms, concealment, access to sensitive work, governance rights, and effects on speech or research.</w:t>
      </w:r>
    </w:p>
    <w:p>
      <w:pPr>
        <w:pStyle w:val="Heading1"/>
      </w:pPr>
      <w:r>
        <w:t>6 Science, fear, and policy: four case studies</w:t>
      </w:r>
    </w:p>
    <w:p>
      <w:pPr>
        <w:keepLines w:val="0"/>
      </w:pPr>
      <w:r>
        <w:t>The investigation should resist two symmetrical errors: “official science is always trustworthy” and “institutional failure makes the underlying field false.” Science is a method and community of correction, not a guarantee that every paper, model, press conference, or mandate is sound. Policy adds values, risk tolerance, law, and tradeoffs that data alone cannot decide.</w:t>
      </w:r>
    </w:p>
    <w:p>
      <w:pPr>
        <w:pStyle w:val="Heading2"/>
      </w:pPr>
      <w:r>
        <w:t>Tobacco and sugar: documented commercial influence</w:t>
      </w:r>
    </w:p>
    <w:p>
      <w:pPr>
        <w:keepLines w:val="0"/>
      </w:pPr>
      <w:r>
        <w:t>The tobacco record is a strong case of coordinated deception: litigation and internal documents established long-running efforts to contest evidence, shape public understanding, and protect sales. In United States v. Philip Morris, the federal courts upheld extensive findings under civil RICO.[11] Historical documents also show that the Sugar Research Foundation funded a 1960s review that emphasized fat and cholesterol while downplaying evidence concerning sucrose, without disclosing the sponsorship.[12]</w:t>
      </w:r>
    </w:p>
    <w:p>
      <w:pPr>
        <w:keepLines w:val="0"/>
      </w:pPr>
      <w:r>
        <w:t>These cases demonstrate why funding disclosure, protocol transparency, data access, and independent replication matter. They do not justify rejecting all industry-funded work; they justify more demanding scrutiny.</w:t>
      </w:r>
    </w:p>
    <w:p>
      <w:pPr>
        <w:pStyle w:val="Heading2"/>
      </w:pPr>
      <w:r>
        <w:t>COVID 19 wellness disruption and institutional judgment</w:t>
      </w:r>
    </w:p>
    <w:p>
      <w:pPr>
        <w:keepLines w:val="0"/>
      </w:pPr>
      <w:r>
        <w:t>The pandemic combined a novel pathogen, incomplete evidence, genuine mortality risk, disrupted routines and relationships, partisan conflict, emergency authority, and powerful incentives to project certainty. It should be studied both as an institutional test and as a stress test of pre-existing wellness. The Surgisphere episode remains a clear research failure: major observational papers in The Lancet and New England Journal of Medicine were retracted after concerns about data provenance and independent verification.[13]</w:t>
      </w:r>
    </w:p>
    <w:p>
      <w:pPr>
        <w:keepLines w:val="0"/>
      </w:pPr>
      <w:r>
        <w:t>The correction was necessary, but the speed and prestige of publication exposed weaknesses in crisis-era review. School closures and lockdowns were broad policy choices supported by multiple kinds of evidence, modeling, precaution, and political judgment, not the downstream product of one fraudulent paper. Their benefits and harms varied by time, place, age, viral conditions, household circumstances, and available alternatives. The educational damage was substantial; GAO and national assessments document learning disruption and widening gaps.[14]</w:t>
      </w:r>
    </w:p>
    <w:p>
      <w:pPr>
        <w:keepLines w:val="0"/>
      </w:pPr>
      <w:r>
        <w:t>The inquiry must ask both how institutions exercised power and why children and families with different levels of psychological, relational, physical, intellectual, moral, and spiritual wellness experienced the same disruption differently.</w:t>
      </w:r>
    </w:p>
    <w:p>
      <w:pPr>
        <w:pStyle w:val="Heading2"/>
      </w:pPr>
      <w:r>
        <w:t>Climate change: evidence, scenarios, and policy overstatement</w:t>
      </w:r>
    </w:p>
    <w:p>
      <w:pPr>
        <w:keepLines w:val="0"/>
      </w:pPr>
      <w:r>
        <w:t>Human influence on climate is supported by multiple independent lines of evidence. That conclusion does not validate every projection, headline, scenario, deadline, regulation, or subsidy. The IPCC’s erroneous claim that Himalayan glaciers could largely disappear by 2035 was a documented failure of sourcing and review that the organization acknowledged.[15] Separately, researchers have warned that high-emissions “business as usual” scenarios can be misleading when treated as the most likely future rather than as conditional pathways.[16]</w:t>
      </w:r>
    </w:p>
    <w:p>
      <w:pPr>
        <w:keepLines w:val="0"/>
      </w:pPr>
      <w:r>
        <w:t>These examples support better probability communication and policy cost-benefit analysis; they do not support the claim that climate science as a whole was invented as a political mechanism.</w:t>
      </w:r>
    </w:p>
    <w:p>
      <w:pPr>
        <w:pStyle w:val="Heading2"/>
      </w:pPr>
      <w:r>
        <w:t>A protocol for controversial evidence</w:t>
      </w:r>
    </w:p>
    <w:p>
      <w:pPr>
        <w:pStyle w:val="ListBullet"/>
      </w:pPr>
      <w:r>
        <w:t>Separate the scientific proposition from the proposed policy and from the moral rhetoric surrounding it.</w:t>
      </w:r>
    </w:p>
    <w:p>
      <w:pPr>
        <w:pStyle w:val="ListBullet"/>
      </w:pPr>
      <w:r>
        <w:t>Locate the primary data, methods, preregistration or protocol, funding, conflicts, corrections, and retractions.</w:t>
      </w:r>
    </w:p>
    <w:p>
      <w:pPr>
        <w:pStyle w:val="ListBullet"/>
      </w:pPr>
      <w:r>
        <w:t>Ask whether the effect is large, replicated, causally identified, and relevant to the population at issue.</w:t>
      </w:r>
    </w:p>
    <w:p>
      <w:pPr>
        <w:pStyle w:val="ListBullet"/>
      </w:pPr>
      <w:r>
        <w:t>Compare forecasts with outcomes; record both false alarms and failures to warn.</w:t>
      </w:r>
    </w:p>
    <w:p>
      <w:pPr>
        <w:pStyle w:val="ListBullet"/>
      </w:pPr>
      <w:r>
        <w:t>Examine who could dissent, what it cost them, and whether contrary evidence received symmetric scrutiny.</w:t>
      </w:r>
    </w:p>
    <w:p>
      <w:pPr>
        <w:pStyle w:val="ListBullet"/>
      </w:pPr>
      <w:r>
        <w:t>Apply proportionality, subsidiarity, due process, time limits, and transparent review to coercive measures.</w:t>
      </w:r>
    </w:p>
    <w:p>
      <w:pPr>
        <w:pStyle w:val="Heading1"/>
      </w:pPr>
      <w:r>
        <w:t>7 Geopolitics, fear, and economic pressure</w:t>
      </w:r>
    </w:p>
    <w:p>
      <w:pPr>
        <w:keepLines w:val="0"/>
      </w:pPr>
      <w:r>
        <w:t>Minds are formed under conditions, not in laboratories. War, terrorism, inflation, unemployment, housing insecurity, public-health emergencies, and rapid cultural change narrow attention toward immediate survival. Chronic stress can reduce patience for ambiguity and increase receptivity to simple narratives, scapegoats, and strong authority. Parents under time and financial pressure have less capacity for reading aloud, supervising technology, attending meetings, and sustaining calm discipline.</w:t>
      </w:r>
    </w:p>
    <w:p>
      <w:pPr>
        <w:keepLines w:val="0"/>
      </w:pPr>
      <w:r>
        <w:t>A 2024 Surgeon General advisory identified financial strain, time demands, isolation, and anxiety about children’s health and technology among major parental stressors; its policy prescriptions are debatable, but the problem is real.[17] Geopolitical information warfare exploits these vulnerabilities. Russia’s 2016 social-media influence operation, documented by the bipartisan Senate Intelligence Committee, sought to exploit American divisions. [18]</w:t>
      </w:r>
    </w:p>
    <w:p>
      <w:pPr>
        <w:keepLines w:val="0"/>
      </w:pPr>
      <w:r>
        <w:t>Chinese influence, transnational lobbying, terrorist propaganda, and domestic political campaigns use different methods, but share a principle: attention, emotion, and social identity can be shaped at scale. The defense is not government control of permissible opinion. It is a citizenry skilled in provenance, comparison, history, emotional regulation, and constitutional liberty. Economic policy therefore belongs in an inquiry about education. Stable families need work, housing, time, safety, and credible institutions.</w:t>
      </w:r>
    </w:p>
    <w:p>
      <w:pPr>
        <w:keepLines w:val="0"/>
      </w:pPr>
      <w:r>
        <w:t>Yet material support cannot replace formation, and poverty should not be equated with intellectual incapacity. Many strong minds have arisen under deprivation; the ethical point is that society should not make formation needlessly difficult or use hardship as an excuse for diminished expectations.</w:t>
      </w:r>
    </w:p>
    <w:p>
      <w:pPr>
        <w:pStyle w:val="Heading1"/>
      </w:pPr>
      <w:r>
        <w:t>8 The Trump administration as a course-correction test</w:t>
      </w:r>
    </w:p>
    <w:p>
      <w:pPr>
        <w:keepLines w:val="0"/>
      </w:pPr>
      <w:r>
        <w:t>The administration explicitly presents many initiatives as restorations of common sense, truth, parental authority, merit, free speech, religious liberty, and American leadership. That program addresses real concerns raised in this investigation. It must nevertheless be judged by the same standards applied to universities, media, and prior administrations: legal authority, truthfulness, procedural justice, viewpoint neutrality, prudence, measurable results, and willingness to correct error.</w:t>
      </w:r>
    </w:p>
    <w:p>
      <w:pPr>
        <w:keepLines w:val="0"/>
      </w:pPr>
      <w:r>
        <w:t>Initiative Potential contribution Question or risk requiring evidence Free-speech executive order Limits federal use of power to pressure lawful speech; orders review of prior conduct Does enforcement protect opponents equally, and does government avoid retaliatory leverage over media? K–12 indoctrination order Reasserts parental rights, individual equality, merit, and scrutiny of compelled ideology Are terms applied with precision and due process; does “patriotic education” permit honest treatment of national failures?</w:t>
      </w:r>
    </w:p>
    <w:p>
      <w:pPr>
        <w:keepLines w:val="0"/>
      </w:pPr>
      <w:r>
        <w:t>Education choice Expands parental exit and pluralism Do families receive usable information; are quality, disability access, and accountability preserved? Accreditation reform Challenges ideological gatekeeping and weak outcomes Can reform avoid political substitution and protect legitimate academic independence? Foreign-funding transparency Makes institutional dependencies more visible Are thresholds, investigations, and penalties consistent rather than selectively political?</w:t>
      </w:r>
    </w:p>
    <w:p>
      <w:pPr>
        <w:keepLines w:val="0"/>
      </w:pPr>
      <w:r>
        <w:t>AI education order Builds AI literacy, teacher training, apprenticeships, and critical-thinking resources Does “early exposure” crowd out literacy, memory, play, privacy, or independent work?</w:t>
      </w:r>
    </w:p>
    <w:p>
      <w:pPr>
        <w:keepLines w:val="0"/>
      </w:pPr>
      <w:r>
        <w:t>Initiative Potential contribution Question or risk requiring evidence AI Action Plan Prioritizes innovation, infrastructure, workers, security, interpretability, evaluations, and global competition Does speed weaken safety, concentrate corporate power, or turn geopolitical rivalry into permanent emergency? Executive Order 14149 prohibits federal officers from using government resources to unconstitutionally abridge speech and directs an investigation of prior federal conduct.[19]</w:t>
      </w:r>
    </w:p>
    <w:p>
      <w:pPr>
        <w:keepLines w:val="0"/>
      </w:pPr>
      <w:r>
        <w:t>Executive Order 14190 targets what it calls discriminatory equity ideology and gender ideology in K–12 settings and reestablishes the 1776 Commission.[20] The accreditation order challenges accreditors that impose unlawful discrimination or ideological conditions.[21] Executive Order 14277 promotes AI literacy, teacher training, public-private partnerships, apprenticeships, and a national student challenge.[22] The 2025 AI Action Plan emphasizes innovation, infrastructure, international competition, worker preparation, interpretability, model evaluation, and national-security risk.[23]</w:t>
      </w:r>
    </w:p>
    <w:p>
      <w:pPr>
        <w:keepLines w:val="0"/>
      </w:pPr>
      <w:r>
        <w:t>These are consequential steps, not completed outcomes. The strongest conservative case for them is that concentrated institutions have evaded parental control, enforced ideological conformity, hidden conflicts, and failed to deliver basic mastery. The strongest internal caution is Burkean and constitutional: power created to defeat one faction can be inherited by another; executive administration can outpace law; and official “truth” can become as dangerous in friendly hands as hostile ones.</w:t>
      </w:r>
    </w:p>
    <w:p>
      <w:pPr>
        <w:keepLines w:val="0"/>
      </w:pPr>
      <w:r>
        <w:t>Course correction succeeds only if it rebuilds durable rules, distributed authority, transparent evidence, and the freedom to question the reformers themselves.</w:t>
      </w:r>
    </w:p>
    <w:p>
      <w:pPr>
        <w:pStyle w:val="Heading1"/>
      </w:pPr>
      <w:r>
        <w:t>9 AI, automation, and the danger of intellectual replacement</w:t>
      </w:r>
    </w:p>
    <w:p>
      <w:pPr>
        <w:keepLines w:val="0"/>
      </w:pPr>
      <w:r>
        <w:t>“Replacement” should be understood in three senses. Economic replacement occurs when machines perform tasks once sold as human labor. Cognitive replacement occurs when people cease practicing memory, composition, calculation, research, or judgment because a system supplies fluent outputs. Political replacement occurs when citizens surrender deliberation to administrative systems, recommender algorithms, or synthetic consensus. None implies that humanity is literally destined to die. All describe real loss of agency if capability expands faster than formation.</w:t>
      </w:r>
    </w:p>
    <w:p>
      <w:pPr>
        <w:keepLines w:val="0"/>
      </w:pPr>
      <w:r>
        <w:t>AI can tutor, translate, simulate, code, summarize, and expand access. It can also fabricate, flatter, homogenize prose, enable surveillance, personalize persuasion, and conceal dependence behind apparent competence. NIST’s AI Risk Management Framework organizes responsible practice around governing, mapping, measuring, and managing risk.[24] The U.S. Department of Education’s 2023 report emphasized keeping humans in the loop and centering teaching and learning rather than technological novelty.[25]</w:t>
      </w:r>
    </w:p>
    <w:p>
      <w:pPr>
        <w:keepLines w:val="0"/>
      </w:pPr>
      <w:r>
        <w:t>The deeper educational rule is simpler: the student must do the cognitive work that the learning objective exists to develop. The Department of Education's position creates a useful institutional test. Its 2023 report calls for keeping humans in the loop, centering teaching and learning, involving educators in the design of AI systems, and protecting privacy, safety, transparency and equity. Its 2024 developer guide extends that approach by urging educational technology to begin with a clear theory of learning and evidence of educational benefit.[31]</w:t>
      </w:r>
    </w:p>
    <w:p>
      <w:pPr>
        <w:keepLines w:val="0"/>
      </w:pPr>
      <w:r>
        <w:t>These safeguards are necessary, but they leave a prior question unresolved: which human capacities must education deliberately form before assistance becomes substitution? Without an integrated formative standard, a system may regulate AI responsibly while still allowing students to surrender memory, reasoning, authorship and judgment. AI policy therefore cannot be separated from the purpose of education. Stage Permitted role for AI Protected human work Ages 0–5 No independent generative-AI use; occasional adult-mediated audio or visual exploration Attachment, speech, play, movement, imitation, nature, boredom</w:t>
      </w:r>
    </w:p>
    <w:p>
      <w:pPr>
        <w:keepLines w:val="0"/>
      </w:pPr>
      <w:r>
        <w:t>Stage Permitted role for AI Protected human work Ages 6–10 Rare, supervised demonstrations after the child answers first Reading fluency, handwriting, arithmetic recall, observation, narration, craft Ages 11–14 Guided research comparison; bias and error exercises; prompt log First drafts, algebraic reasoning, source reading, argument construction Ages 15–18 Transparent co-pilot use, coding aid, adversarial review, data analysis Thesis ownership, verification, oral defense, closed-tool assessment, ethical judgment Adults Productivity and creative amplification under accountability Final responsibility, confidential judgment, relationships, conscience, skilled practice A sound AI protocol requires disclosure of tool, date, prompts, retained output, verification sources, corrections, and final human responsibility.</w:t>
      </w:r>
    </w:p>
    <w:p>
      <w:pPr>
        <w:keepLines w:val="0"/>
      </w:pPr>
      <w:r>
        <w:t>Sensitive personal, school, medical, or family information should not be entered without a clear privacy basis. Students should be able to reproduce essential reasoning without the tool and defend the result orally. Where the aim is fluency, memory, or first-order composition, AI assistance should be prohibited.</w:t>
      </w:r>
    </w:p>
    <w:p>
      <w:pPr>
        <w:pStyle w:val="Heading1"/>
      </w:pPr>
      <w:r>
        <w:t>10 Signs that a person is on the wrong course</w:t>
      </w:r>
    </w:p>
    <w:p>
      <w:pPr>
        <w:keepLines w:val="0"/>
      </w:pPr>
      <w:r>
        <w:t>Self-examination is necessary, but it is not reliable when used only to confirm what a person already wants. Direction is better judged by patterns of belief, conduct, relationship, and consequence. A single mistake, strong emotion, unpopular opinion, or period of confusion does not establish moral or intellectual decline. The concern becomes serious when warning signs persist, reinforce one another, and remain protected from correction. The first signs concern truth and judgment.</w:t>
      </w:r>
    </w:p>
    <w:p>
      <w:pPr>
        <w:keepLines w:val="0"/>
      </w:pPr>
      <w:r>
        <w:t>A person may lie habitually, conceal relevant facts, accept evidence only when it serves a preferred conclusion, or demand standards from opponents that are never applied to allies. Other signs include an inability to describe a contrary view fairly, certainty unsupported by knowledge, hostility toward honest questions, and repeated reliance on slogans, rumors, or emotionally satisfying narratives after their weaknesses have been shown. Intellectual failure becomes moral failure when deception is chosen because truth would require sacrifice or repentance. A second group concerns self-government.</w:t>
      </w:r>
    </w:p>
    <w:p>
      <w:pPr>
        <w:keepLines w:val="0"/>
      </w:pPr>
      <w:r>
        <w:t>Appetite, anger, fear, envy, status, or immediate pleasure begins to govern decisions that reason and duty should govern. Promises are repeatedly broken. Work, family obligations, finances, health, worship, or lawful responsibilities are neglected. Compulsive use of substances, pornography, gambling, spending, screens, or other forms of stimulation may continue despite visible harm. The decisive warning is not the existence of temptation. It is the growing practice of arranging beliefs and circumstances so that temptation never has to be resisted. A third group appears in relationships and the use of power.</w:t>
      </w:r>
    </w:p>
    <w:p>
      <w:pPr>
        <w:keepLines w:val="0"/>
      </w:pPr>
      <w:r>
        <w:t>People are treated as obstacles, audiences, possessions, or instruments rather than persons with dignity. Manipulation, intimidation, humiliation, exploitation, theft, cruelty, or violence is excused by grievance, ideology, entitlement, or a supposedly noble objective. The person becomes unable to apologize without qualification, make restitution, accept proportionate consequences, or distinguish forgiveness from restored trust. Close relationships deteriorate, yet every failure is attributed to enemies, institutions, or circumstances. A fourth group concerns reality and conscience.</w:t>
      </w:r>
    </w:p>
    <w:p>
      <w:pPr>
        <w:keepLines w:val="0"/>
      </w:pPr>
      <w:r>
        <w:t>The same destructive result follows repeated choices, but the explanation never changes. Advice is sought only from people who will approve a predetermined course. Isolation from truthful family members, mentors, clergy, professionals, or friends increases. Political identity, personal desire, career, grievance, or public recognition becomes an ultimate authority. Conscience grows quieter, gratitude disappears, and remorse is replaced by self-justification. In religious life, another warning is</w:t>
      </w:r>
    </w:p>
    <w:p>
      <w:pPr>
        <w:keepLines w:val="0"/>
      </w:pPr>
      <w:r>
        <w:t>the use of faith to shield pride or domination rather than submit conduct to truth, justice, mercy, and repentance. These signs do not all have the same cause. Poor habits, addiction, trauma, immaturity, ideological capture, medical illness, and deliberate wrongdoing require different responses. Serious threats of self-harm or harm to others require immediate protection and qualified intervention.</w:t>
      </w:r>
    </w:p>
    <w:p>
      <w:pPr>
        <w:keepLines w:val="0"/>
      </w:pPr>
      <w:r>
        <w:t>In other cases, a change of course begins with truthful naming of the pattern, acceptance of responsibility, restitution where possible, professional or pastoral help when appropriate, removal of destructive opportunities, disciplined work, healthier community, and conduct sustained long enough to make reform credible. Change is worthwhile, but it must become observable in choices, obligations, and relationships.</w:t>
      </w:r>
    </w:p>
    <w:p>
      <w:pPr>
        <w:pStyle w:val="Heading2"/>
      </w:pPr>
      <w:r>
        <w:t>From diagnosis to formation</w:t>
      </w:r>
    </w:p>
    <w:p>
      <w:pPr>
        <w:keepLines w:val="0"/>
      </w:pPr>
      <w:r>
        <w:t>Recognizing a wrong course tells us what education must prevent and what it must strengthen. If a person can be misdirected by falsehood, appetite, fear, resentment, isolation, or power, education must form the opposing capacities: attention to reality, knowledge, logical judgment, self-command, ethical responsibility, practical competence, friendship, faith, and openness to correction. These capacities cannot be installed in a final course before graduation. They develop through age-appropriate instruction, example, habit, responsibility, and increasingly independent judgment.</w:t>
      </w:r>
    </w:p>
    <w:p>
      <w:pPr>
        <w:keepLines w:val="0"/>
      </w:pPr>
      <w:r>
        <w:t>Section 11 therefore moves from diagnosis to construction. Its sequence identifies what children should encounter and practice as their powers mature, how adults can observe genuine progress, and when technology should remain absent, supervised, or accountable. The aim is not to produce a compliant child. It is to prepare a young person who can recognize manipulation, govern desire, fulfill obligations, and exercise freedom responsibly.</w:t>
      </w:r>
    </w:p>
    <w:p>
      <w:pPr>
        <w:pStyle w:val="Heading1"/>
      </w:pPr>
      <w:r>
        <w:t>11 A practical course of study by age</w:t>
      </w:r>
    </w:p>
    <w:p>
      <w:pPr>
        <w:keepLines w:val="0"/>
      </w:pPr>
      <w:r>
        <w:t>Age Primary formation Core studies and practices Parent or teacher evidence 0–5 Attachment, language, sensory order, imitation Daily read-aloud; songs, rhyme, prayer; imaginative play; blocks; drawing; outdoor movement; simple chores; names for emotions and nature Converses, listens, retells, plays cooperatively, manages small frustrations; no independent AI 6–8 Fluency, memory, wonder, habit Phonics and rich literature; handwriting; spelling; arithmetic facts and concrete models; local nature; maps and timelines; music; craft; household responsibility Reads aloud accurately, narrates a story, writes a clear paragraph, explains quantities, completes duties 9–10 Knowledge architecture and craftsmanship History sequence; geography; fractions and measurement; observational science; grammar; biographies, myth, Scripture and classic stories; gardening, cooking, making Maintains notebook, locates events in time/place, explains cause cautiously, produces finished work 11–14 Logic, argument, abstraction, self-command Formal grammar; logic and fallacies; rhetoric; primarysource history; algebra and geometry; laboratory science; comparative ethics; civics; media provenance; guided AI auditing Writes and orally defends an argument, solves without answer engine, states rival view fairly, verifies AI claims</w:t>
      </w:r>
    </w:p>
    <w:p>
      <w:pPr>
        <w:keepLines w:val="0"/>
      </w:pPr>
      <w:r>
        <w:t>Age Primary formation Core studies and practices Parent or teacher evidence 15–18 Synthesis, vocation, responsible freedom Great Books seminar; U.S. founding documents; economics; statistics; advanced math/science or trade; theology/philosophy; research methods; capstone; apprenticeship; finance; first aid; AI governance Long-form thesis and oral defense, independent project, service record, budget, technical competence, ethical analysis 18–25 Commitment, mastery, citizenship Specialization plus continued liberal study; work discipline; civic participation; marriage/family discernment; mentorship; financial and digital independence Can support claims, accept correction, keep promises, mentor others, and use tools without surrendering judgment</w:t>
      </w:r>
    </w:p>
    <w:p>
      <w:pPr>
        <w:pStyle w:val="Heading2"/>
      </w:pPr>
      <w:r>
        <w:t>A starter Great Books sequence</w:t>
      </w:r>
    </w:p>
    <w:p>
      <w:pPr>
        <w:keepLines w:val="0"/>
      </w:pPr>
      <w:r>
        <w:t>Children should encounter excellent stories before abstract theory. Read-aloud selections can include Aesop, myths, folktales, Scripture, Homeric stories, fairy tales, and humane modern classics. Around ages 11–14, add selected Plato, Aristotle’s ethical questions in accessible form, Plutarch, Epictetus, Augustine, Shakespeare, founding documents, Douglass, Tocqueville, and strong historical biographies.</w:t>
      </w:r>
    </w:p>
    <w:p>
      <w:pPr>
        <w:keepLines w:val="0"/>
      </w:pPr>
      <w:r>
        <w:t>From ages 15–18, read substantial primary works or well-chosen sections: Plato’s Apology and Republic; Aristotle’s Nicomachean Ethics and Politics; Augustine’s Confessions; Aquinas on law and virtue; Dante; Shakespeare; Locke; Burke; Smith; the Declaration, Constitution, Federalist and Anti-Federalist writings; Tocqueville; Darwin; Dostoevsky; Marx; Nietzsche; Du Bois; Orwell; Lewis; Arendt; Solzhenitsyn; and serious non-Western texts. The objective is not completion of a prestigious list. It is increasingly independent judgment in the Great Conversation.</w:t>
      </w:r>
    </w:p>
    <w:p>
      <w:pPr>
        <w:pStyle w:val="Heading1"/>
      </w:pPr>
      <w:r>
        <w:t>12 Parent–teacher guidelines</w:t>
      </w:r>
    </w:p>
    <w:p>
      <w:pPr>
        <w:keepLines w:val="0"/>
      </w:pPr>
      <w:r>
        <w:t>Practice At home or school Avoid Begin with relationship Create safety for questions; know the child’s temperament, interests, friendships, and burdens Confusing fear with respect or affirmation with indulgence Teach by dialogue Ask: What do we know? What is the evidence? What would change your mind? What follows?</w:t>
      </w:r>
    </w:p>
    <w:p>
      <w:pPr>
        <w:keepLines w:val="0"/>
      </w:pPr>
      <w:r>
        <w:t>Leading questions whose only acceptable function is agreement Protect productive struggle Give time, hints, models, and smaller steps; require a second attempt Rescuing, shaming, or outsourcing the task to AI Build knowledge deliberately Read aloud, recite, retrieve, review, map, calculate, observe, and discuss Assuming search access substitutes for memory Join ethics to every subject Ask about truth, ends, means, duty, consequence, justice, and stewardship Treating ethics as a separate compliance unit Correct proportionately Name the act, require repair, preserve dignity, restore responsibility gradually Identity labels, humiliation, empty praise, inconsistent consequences Model intellectual humility Admit error, check sources publicly, and revise without drama Performing certainty or treating parental authority as infallibility Audit technology Use shared spaces, privacy rules, devicefree meals and sleep, and age gates Secret surveillance as the default or adult hypocrisy</w:t>
      </w:r>
    </w:p>
    <w:p>
      <w:pPr>
        <w:pStyle w:val="Heading2"/>
      </w:pPr>
      <w:r>
        <w:t>The six-question lesson</w:t>
      </w:r>
    </w:p>
    <w:p>
      <w:pPr>
        <w:pStyle w:val="ListBullet"/>
      </w:pPr>
      <w:r>
        <w:t>What is the thing, event, text, or problem before us?</w:t>
      </w:r>
    </w:p>
    <w:p>
      <w:pPr>
        <w:pStyle w:val="ListBullet"/>
      </w:pPr>
      <w:r>
        <w:t>What do we know directly, and what are we being told?</w:t>
      </w:r>
    </w:p>
    <w:p>
      <w:pPr>
        <w:pStyle w:val="ListBullet"/>
      </w:pPr>
      <w:r>
        <w:t>What words, quantities, assumptions, and sources require definition?</w:t>
      </w:r>
    </w:p>
    <w:p>
      <w:pPr>
        <w:pStyle w:val="ListBullet"/>
      </w:pPr>
      <w:r>
        <w:t>What is the strongest rival explanation?</w:t>
      </w:r>
    </w:p>
    <w:p>
      <w:pPr>
        <w:pStyle w:val="ListBullet"/>
      </w:pPr>
      <w:r>
        <w:t>What is ethically at stake—truth, justice, courage, temperance, duty, mercy, or the common good?</w:t>
      </w:r>
    </w:p>
    <w:p>
      <w:pPr>
        <w:pStyle w:val="ListBullet"/>
      </w:pPr>
      <w:r>
        <w:t>What will you now make, test, write, decide, or repair?</w:t>
      </w:r>
    </w:p>
    <w:p>
      <w:pPr>
        <w:pStyle w:val="Heading2"/>
      </w:pPr>
      <w:r>
        <w:t>When school is not enough</w:t>
      </w:r>
    </w:p>
    <w:p>
      <w:pPr>
        <w:keepLines w:val="0"/>
      </w:pPr>
      <w:r>
        <w:t>Parents do not face only a binary choice between passive compliance and full-time homeschooling. They can inspect assignments, read alongside the child, add a knowledge-rich home curriculum, request records, use lawful opt-outs, attend board meetings, form reading circles, hire tutors, join co-ops, use public charters or independent-study programs, choose private or faith-based schools, or establish a home-based private school where state law permits. California, for example, officially describes several pathways, each with distinct legal and recordkeeping requirements.[27]</w:t>
      </w:r>
    </w:p>
    <w:p>
      <w:pPr>
        <w:keepLines w:val="0"/>
      </w:pPr>
      <w:r>
        <w:t>Families should verify current state law rather than rely on socialmedia summaries. Homeschooling can protect time, family culture, intellectual pace, religious formation, and freedom from destructive peer or institutional pressures. It can also produce exhaustion, gaps in advanced subjects, social isolation, weak external feedback, or a family echo chamber. A serious homeschool uses clear objectives, outside assessment, libraries and laboratories, physical activity, service, mentors, mixed-age community, exposure to serious disagreement, and succession planning if the primary parent becomes unable to teach.</w:t>
      </w:r>
    </w:p>
    <w:p>
      <w:pPr>
        <w:pStyle w:val="Heading1"/>
      </w:pPr>
      <w:r>
        <w:t>13 Institutional reform agenda</w:t>
      </w:r>
    </w:p>
    <w:p>
      <w:pPr>
        <w:keepLines w:val="0"/>
      </w:pPr>
      <w:r>
        <w:t>Society changes when incentives, authority, and habits change together. Policy cannot manufacture wisdom, but it can protect the conditions in which families, teachers, congregations, and associations cultivate it. Institution Priority reforms Family Reduce digital intrusion; recover meals, worship, chores, reading, sleep, intergenerational ties, and economic policies that preserve family time and responsibility.</w:t>
      </w:r>
    </w:p>
    <w:p>
      <w:pPr>
        <w:keepLines w:val="0"/>
      </w:pPr>
      <w:r>
        <w:t>Public school Publish curricula and contracts; restore literacy, mathematics, history, science, arts, civics, discipline, and viewpoint protections; measure long-term mastery; strengthen parent access and plural options. University Protect inquiry and due process; disclose donors and conflicts; reform accreditation; publish outcomes and debt; require methodological and ethical literacy across professional programs.</w:t>
      </w:r>
    </w:p>
    <w:p>
      <w:pPr>
        <w:keepLines w:val="0"/>
      </w:pPr>
      <w:r>
        <w:t>Science and medicine Preregister where appropriate; share data/code; disclose conflicts; reward replication and correction; separate evidence briefings from policy advocacy; protect lawful dissent and whistleblowers. Government Use clear statutory authority, sunset emergency powers, publish evidence and uncertainty, preserve speech and due process, audit algorithms, and distribute authority through federalism and subsidiarity.</w:t>
      </w:r>
    </w:p>
    <w:p>
      <w:pPr>
        <w:keepLines w:val="0"/>
      </w:pPr>
      <w:r>
        <w:t>Media and platforms Correct visibly; separate reporting from opinion; disclose provenance; provide user control over feeds; restrict manipulative design for minors; enable independent audits without state-directed censorship.</w:t>
      </w:r>
    </w:p>
    <w:p>
      <w:pPr>
        <w:keepLines w:val="0"/>
      </w:pPr>
      <w:r>
        <w:t>Institution Priority reforms Church and civil society Teach doctrine and moral reasoning with intellectual seriousness; resist capture by party or donor; provide mentors, service, recovery, art, fellowship, and material support to families. Business and technology Design for human agency; minimize data; document automated decisions; support apprenticeship; preserve accountable human judgment; make displacement and safety assumptions visible.</w:t>
      </w:r>
    </w:p>
    <w:p>
      <w:pPr>
        <w:pStyle w:val="Heading1"/>
      </w:pPr>
      <w:r>
        <w:t>14 Investigative workplan</w:t>
      </w:r>
    </w:p>
    <w:p>
      <w:pPr>
        <w:keepLines w:val="0"/>
      </w:pPr>
      <w:r>
        <w:t>This research master establishes the architecture; the next phase should test it through document-based case files rather than accumulate commentary. Each case file should answer the same questions so that unlike institutions and administrations can be compared without changing standards.</w:t>
      </w:r>
    </w:p>
    <w:p>
      <w:pPr>
        <w:keepLines w:val="0"/>
      </w:pPr>
      <w:r>
        <w:t>Workstream Evidence to collect Output Philosophical baseline Primary passages on intellect, will, virtue, education, law, liberty, faith, and common good Annotated sourcebook and definition ledger Education outcomes NAEP/PISA microdata and technical notes; state trends; attendance; curriculum time; device use; family background Trend brief with causal limits Governance map Statutes, regulations, standards, board minutes, union agreements, accreditors, vendor and platform contracts State-specific influence maps Capture case files Funding, disclosures, emails, contracts, litigation, corrections, whistleblower claims, counterevidence Evidence matrix with confidence grades COVID and climate Timelines of claims, evidence, forecasts, policy decisions, revisions, costs, judicial review Science-to-policy chain analyses Trump reforms Orders, agency implementation, appropriations, guidance, lawsuits, outcomes, opposition arguments Scorecard updated quarterly AI and automation Capability evaluations, labor-task evidence, school policies, privacy terms, incidents, learning outcomes Age-gated AI standard and risk register Family alternatives State homeschool law, program quality, cost, special needs, outcomes and selection effects Parent decision guide and model weekly plans School and university comparison The next phase will compare the institutions that form students from childhood through higher education.</w:t>
      </w:r>
    </w:p>
    <w:p>
      <w:pPr>
        <w:keepLines w:val="0"/>
      </w:pPr>
      <w:r>
        <w:t>Public education remains central, but it will not stand as a proxy for the whole educational system. The sample must be broad enough to distinguish governance model, educational philosophy, age level, mission, cost, selectivity, religious character, and intended outcome.</w:t>
      </w:r>
    </w:p>
    <w:p>
      <w:pPr>
        <w:pStyle w:val="ListBullet"/>
      </w:pPr>
      <w:r>
        <w:t>Public K–12 schools, including conventional district, magnet, and charter models.</w:t>
      </w:r>
    </w:p>
    <w:p>
      <w:pPr>
        <w:pStyle w:val="ListBullet"/>
      </w:pPr>
      <w:r>
        <w:t>Private secular, faith-based, classical, Montessori, Waldorf, hybrid, microschool, and other distinctive K– 12 models.</w:t>
      </w:r>
    </w:p>
    <w:p>
      <w:pPr>
        <w:pStyle w:val="ListBullet"/>
      </w:pPr>
      <w:r>
        <w:t>Homeschool programs and cooperatives, including parent-directed and institution-supported approaches.</w:t>
      </w:r>
    </w:p>
    <w:p>
      <w:pPr>
        <w:pStyle w:val="ListBullet"/>
      </w:pPr>
      <w:r>
        <w:t>Community colleges, regional public universities, and public research and flagship universities.</w:t>
      </w:r>
    </w:p>
    <w:p>
      <w:pPr>
        <w:pStyle w:val="ListBullet"/>
      </w:pPr>
      <w:r>
        <w:t>Private research universities, liberal-arts colleges, faith-based colleges, classical and Great Books institutions, technical and vocational schools, and online universities. Selection will be comparative rather than anecdotal. Institutions will be chosen to represent materially different models, and conclusions will distinguish a school’s stated mission from its curriculum, incentives, classroom practices, student experience, and measurable results. No single locality, including Ojai, will be treated as the focal point.</w:t>
      </w:r>
    </w:p>
    <w:p>
      <w:pPr>
        <w:pStyle w:val="Heading2"/>
      </w:pPr>
      <w:r>
        <w:t>Institutional influence and foreign alignment audit</w:t>
      </w:r>
    </w:p>
    <w:p>
      <w:pPr>
        <w:keepLines w:val="0"/>
      </w:pPr>
      <w:r>
        <w:t>Private schools and universities are not insulated from outside influence merely because they operate outside direct public control. Their formative direction may be affected by governing boards, founders, major donors, foundations, corporations, religious authorities, accreditation organizations, professional associations, technology vendors, research sponsors, foreign partners, and ideological networks. The investigation will identify who possesses formal authority, who exercises practical leverage, what reaches the classroom, and what accountability record is available.</w:t>
      </w:r>
    </w:p>
    <w:p>
      <w:pPr>
        <w:keepLines w:val="0"/>
      </w:pPr>
      <w:r>
        <w:t>Influence is not automatically subversion. Legitimate philanthropy, religious mission, academic exchange, accreditation, and international research can strengthen an institution. The decisive questions concern transparency, control, consistency with the institution's stated mission, effects on independent inquiry, and whether influence uses concealment, coercion, deception, improper control, or unlawful conduct. The same evidentiary standard will apply to allies and opponents.</w:t>
      </w:r>
    </w:p>
    <w:p>
      <w:pPr>
        <w:pStyle w:val="Heading2"/>
      </w:pPr>
      <w:r>
        <w:t>Sources of influence to be mapped</w:t>
      </w:r>
    </w:p>
    <w:p>
      <w:pPr>
        <w:pStyle w:val="ListBullet"/>
      </w:pPr>
      <w:r>
        <w:t>Governance: trustees, founders, owners, religious authorities, senior administrators, faculty bodies, and entities holding appointment or removal power.</w:t>
      </w:r>
    </w:p>
    <w:p>
      <w:pPr>
        <w:pStyle w:val="ListBullet"/>
      </w:pPr>
      <w:r>
        <w:t>Financial dependence: donors, endowments, foundations, corporations, research sponsors, government grants, tuition models, debt, and contractual revenue.</w:t>
      </w:r>
    </w:p>
    <w:p>
      <w:pPr>
        <w:pStyle w:val="ListBullet"/>
      </w:pPr>
      <w:r>
        <w:t>Curricular and professional control: accreditors, licensing bodies, rankings, scholarly associations, unions, publishers, testing organizations, and teacher-training networks.</w:t>
      </w:r>
    </w:p>
    <w:p>
      <w:pPr>
        <w:pStyle w:val="ListBullet"/>
      </w:pPr>
      <w:r>
        <w:t>Technology and information control: AI providers, learning-management systems, cloud infrastructure, data brokers, surveillance services, digital libraries, and assessment vendors.</w:t>
      </w:r>
    </w:p>
    <w:p>
      <w:pPr>
        <w:pStyle w:val="ListBullet"/>
      </w:pPr>
      <w:r>
        <w:t>Foreign relationships: governments, government-affiliated universities, sovereign or state-linked funds, international donors, research laboratories, cultural institutes, talent programs, and commercial partners.</w:t>
      </w:r>
    </w:p>
    <w:p>
      <w:pPr>
        <w:pStyle w:val="ListBullet"/>
      </w:pPr>
      <w:r>
        <w:t>Ideological and cultural influence: advocacy organizations, transnational movements, religious or secular networks, activist groups, media systems, and informal professional conformity.</w:t>
      </w:r>
    </w:p>
    <w:p>
      <w:pPr>
        <w:pStyle w:val="Heading2"/>
      </w:pPr>
      <w:r>
        <w:t>Foreign influence categories</w:t>
      </w:r>
    </w:p>
    <w:p>
      <w:pPr>
        <w:pStyle w:val="ListBullet"/>
      </w:pPr>
      <w:r>
        <w:t>Allied and friendly countries. Educational exchanges, philanthropy, joint research, and technology partnerships may advance legitimate shared interests. They still require examination for commercial pressure, privacy practices, ideological agendas, mission conflict, and loss of institutional independence.</w:t>
      </w:r>
    </w:p>
    <w:p>
      <w:pPr>
        <w:pStyle w:val="ListBullet"/>
      </w:pPr>
      <w:r>
        <w:t>Strategic competitors. Relationships involving governments or state-linked entities that compete with the United States require stronger scrutiny of research direction, intellectual-property transfer, censorship, surveillance, data access, talent recruitment, and technological dependence.</w:t>
      </w:r>
    </w:p>
    <w:p>
      <w:pPr>
        <w:pStyle w:val="ListBullet"/>
      </w:pPr>
      <w:r>
        <w:t>Hostile governments and affiliated entities. The audit will examine evidence of propaganda, covert funding, cyber intrusion, intelligence collection, intimidation, institutional capture, or deliberate weakening of American civic confidence.</w:t>
      </w:r>
    </w:p>
    <w:p>
      <w:pPr>
        <w:pStyle w:val="ListBullet"/>
      </w:pPr>
      <w:r>
        <w:t>Transnational organizations and ideological networks. Some influences cannot be assigned neatly to one country. Foundations, corporations, nongovernmental organizations, accreditation networks, and international bodies may promote values or policies that conflict with an institution's mission or American constitutional traditions. Individuals and governments must be distinguished. National origin alone is not evidence that a professor, student, donor, or researcher acts for a foreign government. A stronger judgment requires organizational ties, funding, direction, concealment, coercion, coordinated conduct, or another documented mechanism of control. The governing rule is that foreign origin establishes the context for scrutiny; conduct, control, transparency, and effects establish the evidence judgment.</w:t>
      </w:r>
    </w:p>
    <w:p>
      <w:pPr>
        <w:pStyle w:val="Heading2"/>
      </w:pPr>
      <w:r>
        <w:t>Five questions for every influence relationship</w:t>
      </w:r>
    </w:p>
    <w:p>
      <w:pPr>
        <w:pStyle w:val="ListBullet"/>
      </w:pPr>
      <w:r>
        <w:t>Who supplied the money, technology, personnel, curriculum, data, or institutional access?</w:t>
      </w:r>
    </w:p>
    <w:p>
      <w:pPr>
        <w:pStyle w:val="ListBullet"/>
      </w:pPr>
      <w:r>
        <w:t>Is the relationship and its material terms publicly disclosed?</w:t>
      </w:r>
    </w:p>
    <w:p>
      <w:pPr>
        <w:pStyle w:val="ListBullet"/>
      </w:pPr>
      <w:r>
        <w:t>Does the contributor exercise control over research, teaching, hiring, speech, publication, assessment, or student data?</w:t>
      </w:r>
    </w:p>
    <w:p>
      <w:pPr>
        <w:pStyle w:val="ListBullet"/>
      </w:pPr>
      <w:r>
        <w:t>Does the relationship broaden inquiry or constrain the student's ability to encounter competing ideas and reach an independent judgment?</w:t>
      </w:r>
    </w:p>
    <w:p>
      <w:pPr>
        <w:pStyle w:val="ListBullet"/>
      </w:pPr>
      <w:r>
        <w:t>What primary evidence shows classroom effects, institutional dependence, data exposure, correction, or measurable outcomes?</w:t>
      </w:r>
    </w:p>
    <w:p>
      <w:pPr>
        <w:pStyle w:val="Heading2"/>
      </w:pPr>
      <w:r>
        <w:t>American alignment and the well formed mind</w:t>
      </w:r>
    </w:p>
    <w:p>
      <w:pPr>
        <w:keepLines w:val="0"/>
      </w:pPr>
      <w:r>
        <w:t>The audit will not equate American alignment with partisan conformity or insulation from foreign thought. A well-formed mind must encounter serious competing civilizations, philosophies, religions, and political traditions. The relevant question is whether the institution equips students to understand those alternatives, test them against evidence and first principles, recognize embedded assumptions, and judge freely.</w:t>
      </w:r>
    </w:p>
    <w:p>
      <w:pPr>
        <w:keepLines w:val="0"/>
      </w:pPr>
      <w:r>
        <w:t>An alignment problem arises when undisclosed or coercive influence narrows permissible inquiry, displaces the institution's declared mission, weakens constitutional understanding, or trains students to repeat an ideology without examination.</w:t>
      </w:r>
    </w:p>
    <w:p>
      <w:pPr>
        <w:pStyle w:val="Heading2"/>
      </w:pPr>
      <w:r>
        <w:t>AI as a transmission mechanism</w:t>
      </w:r>
    </w:p>
    <w:p>
      <w:pPr>
        <w:keepLines w:val="0"/>
      </w:pPr>
      <w:r>
        <w:t>AI can transmit outside influence through model ownership, training data, content filtering, system instructions, safety policies, research funding, cloud infrastructure, vendor agreements, and access to student or faculty data. Personalized systems may shape what a learner encounters, omits, questions, or accepts without making those choices visible. The audit will therefore examine who selected the system, which jurisdiction and entities govern it, what information it retains, how its outputs may be challenged, and whether teachers, parents, and students can inspect or override its assumptions.</w:t>
      </w:r>
    </w:p>
    <w:p>
      <w:pPr>
        <w:pStyle w:val="Heading2"/>
      </w:pPr>
      <w:r>
        <w:t>Artificial intelligence education audit</w:t>
      </w:r>
    </w:p>
    <w:p>
      <w:pPr>
        <w:keepLines w:val="0"/>
      </w:pPr>
      <w:r>
        <w:t>Every selected school, college, and university will receive a separate AI audit. The inquiry will not treat the existence of a computer-science department, an AI degree, or a campus chatbot as proof that AI is part of the institution’s educational philosophy. It will ask whether AI is integrated into the formation of students, how the institution believes it should be used, and what human capacities its policies are designed to preserve.</w:t>
      </w:r>
    </w:p>
    <w:p>
      <w:pPr>
        <w:pStyle w:val="ListBullet"/>
      </w:pPr>
      <w:r>
        <w:t>Perspective: What does the institution publicly say AI is for, and what risks or limits does it acknowledge?</w:t>
      </w:r>
    </w:p>
    <w:p>
      <w:pPr>
        <w:pStyle w:val="Heading2"/>
      </w:pPr>
      <w:r>
        <w:t>Educational AI compatibility standard</w:t>
      </w:r>
    </w:p>
    <w:p>
      <w:pPr>
        <w:keepLines w:val="0"/>
      </w:pPr>
      <w:r>
        <w:t>AI tools differ materially in their compatibility with the formation of a well-formed mind. Raw capability, popularity, or an educational label is not enough. The central test is whether a system strengthens knowledge, reasoning, intellectual independence, honest authorship, error recognition, moral judgment, and eventual performance after AI assistance is removed.</w:t>
      </w:r>
    </w:p>
    <w:p>
      <w:pPr>
        <w:keepLines w:val="0"/>
      </w:pPr>
      <w:r>
        <w:t>A compatible educational system should guide before answering, require the learner to explain reasoning, diagnose misunderstanding, adapt without lowering standards, ground claims in inspectable sources, expose uncertainty, preserve teacher and parent oversight, protect student data, and support substantial unaided work. A system is less compatible when it completes writing or reasoning for the student, conceals sources or assumptions, reduces sustained reading and memory, or becomes an independent judge of grades, misconduct, ability, or character.</w:t>
      </w:r>
    </w:p>
    <w:p>
      <w:pPr>
        <w:pStyle w:val="Heading2"/>
      </w:pPr>
      <w:r>
        <w:t>Educator facing capabilities</w:t>
      </w:r>
    </w:p>
    <w:p>
      <w:pPr>
        <w:pStyle w:val="ListBullet"/>
      </w:pPr>
      <w:r>
        <w:t>Lesson and unit planning aligned with subject, grade, standards, instructional purpose, and available time.</w:t>
      </w:r>
    </w:p>
    <w:p>
      <w:pPr>
        <w:pStyle w:val="ListBullet"/>
      </w:pPr>
      <w:r>
        <w:t>Differentiated explanations and accessible formats without silently lowering the intellectual objective.</w:t>
      </w:r>
    </w:p>
    <w:p>
      <w:pPr>
        <w:pStyle w:val="ListBullet"/>
      </w:pPr>
      <w:r>
        <w:t>Discussion questions, quizzes, practice exercises, worked examples, simulations, and classroom activities.</w:t>
      </w:r>
    </w:p>
    <w:p>
      <w:pPr>
        <w:pStyle w:val="ListBullet"/>
      </w:pPr>
      <w:r>
        <w:t>Socratic tutoring that gives hints and questions while withholding the final answer until the student has attempted the work.</w:t>
      </w:r>
    </w:p>
    <w:p>
      <w:pPr>
        <w:pStyle w:val="ListBullet"/>
      </w:pPr>
      <w:r>
        <w:t>Formative assessment that identifies patterns of error and concepts requiring additional instruction.</w:t>
      </w:r>
    </w:p>
    <w:p>
      <w:pPr>
        <w:pStyle w:val="ListBullet"/>
      </w:pPr>
      <w:r>
        <w:t>Rubric development and feedback assistance that remain subject to the teacher's judgment.</w:t>
      </w:r>
    </w:p>
    <w:p>
      <w:pPr>
        <w:pStyle w:val="ListBullet"/>
      </w:pPr>
      <w:r>
        <w:t>Reading, language, translation, captioning, pronunciation, and other accessibility support.</w:t>
      </w:r>
    </w:p>
    <w:p>
      <w:pPr>
        <w:pStyle w:val="ListBullet"/>
      </w:pPr>
      <w:r>
        <w:t>Administrative assistance for parent communications, schedules, summaries, and routine materials, freeing teachers for direct human instruction. The educator must retain control of the learning objective, source selection, ideological balance, studentauthorship boundary, and final evaluation. AI may organize evidence or suggest feedback, but it should not independently determine grades, discipline, or a student's intellectual capability.</w:t>
      </w:r>
    </w:p>
    <w:p>
      <w:pPr>
        <w:pStyle w:val="Heading2"/>
      </w:pPr>
      <w:r>
        <w:t>Provisional tool compatibility</w:t>
      </w:r>
    </w:p>
    <w:p>
      <w:pPr>
        <w:pStyle w:val="ListBullet"/>
      </w:pPr>
      <w:r>
        <w:t>Khanmigo student tutoring: provisionally high compatibility because its stated design emphasizes guided questions, structured curriculum, mastery learning, and educator or parent oversight rather than immediate answer delivery. Vendor claims must be separated from independent evidence isolating the AI tool's learning effects.</w:t>
      </w:r>
    </w:p>
    <w:p>
      <w:pPr>
        <w:pStyle w:val="ListBullet"/>
      </w:pPr>
      <w:r>
        <w:t>ChatGPT Study Mode: provisionally high compatibility when supervised because it supports staged explanations, questions, and knowledge checks. Its flexibility is also a weakness because a student can leave the guided mode and request direct completion.</w:t>
      </w:r>
    </w:p>
    <w:p>
      <w:pPr>
        <w:pStyle w:val="ListBullet"/>
      </w:pPr>
      <w:r>
        <w:t>Gemini Guided Learning and LearnLM capabilities: provisionally high compatibility when supervised because their stated design emphasizes active participation, open-ended questions, stepwise learning, quizzes, and learning-science principles. Independent outcome evidence remains necessary.</w:t>
      </w:r>
    </w:p>
    <w:p>
      <w:pPr>
        <w:pStyle w:val="ListBullet"/>
      </w:pPr>
      <w:r>
        <w:t>Microsoft Reading Coach: high compatibility for the narrower purpose of reading fluency, pronunciation, vocabulary, and leveled practice; it is not a comprehensive system of intellectual formation.</w:t>
      </w:r>
    </w:p>
    <w:p>
      <w:pPr>
        <w:pStyle w:val="ListBullet"/>
      </w:pPr>
      <w:r>
        <w:t>Source-grounded research tools such as NotebookLM: moderate to high compatibility when teachers choose the source set and students interrogate rather than merely summarize it. The risk is that summaries replace the difficult reading required for formation.</w:t>
      </w:r>
    </w:p>
    <w:p>
      <w:pPr>
        <w:pStyle w:val="ListBullet"/>
      </w:pPr>
      <w:r>
        <w:t>Unrestricted general-purpose assistants: moderate compatibility because they can explain, compare, challenge, and converse, but can just as easily complete the student's intellectual work. Educational value depends heavily on assignment design and protected assessment.</w:t>
      </w:r>
    </w:p>
    <w:p>
      <w:pPr>
        <w:pStyle w:val="ListBullet"/>
      </w:pPr>
      <w:r>
        <w:t>Automated writing and answer generators: low compatibility when used to replace composition, research, calculation, interpretation, or intellectual struggle.</w:t>
      </w:r>
    </w:p>
    <w:p>
      <w:pPr>
        <w:pStyle w:val="ListBullet"/>
      </w:pPr>
      <w:r>
        <w:t>AI grading and detection systems: low compatibility as independent judges. They may assist an educator but should not independently determine grades or misconduct because of opacity, contextual error, and false-positive risk. These are provisional compatibility judgments, not unconditional product rankings. Product features change, vendor descriptions are not outcome evidence, and the same system can support or damage formation depending on configuration, age, subject, teacher practice, and assessment design.</w:t>
      </w:r>
    </w:p>
    <w:p>
      <w:pPr>
        <w:pStyle w:val="Heading2"/>
      </w:pPr>
      <w:r>
        <w:t>Institutional adoption test</w:t>
      </w:r>
    </w:p>
    <w:p>
      <w:pPr>
        <w:keepLines w:val="0"/>
      </w:pPr>
      <w:r>
        <w:t>For every institution, determine whether it defines when AI is prohibited, limited, or encouraged; configures AI to guide before answering; requires verification and source identification; preserves reading, writing, calculation, memory, discussion, creation, and practical work without AI; verifies mastery through oral explanation, examination, live demonstration, or performance; gives teachers and parents meaningful oversight; protects privacy; discloses ownership, country, funding, data practices, and institutional relationships; and measures retention and transfer after the AI is removed.</w:t>
      </w:r>
    </w:p>
    <w:p>
      <w:pPr>
        <w:keepLines w:val="0"/>
      </w:pPr>
      <w:r>
        <w:t>The governing principle is simple: the AI most compatible with education is not the system that produces the best answer. It is the system that helps the learner acquire knowledge, explain reasoning, recognize error, exercise judgment, and eventually perform independently without AI.</w:t>
      </w:r>
    </w:p>
    <w:p>
      <w:pPr>
        <w:pStyle w:val="Heading2"/>
      </w:pPr>
      <w:r>
        <w:t>Mental fitness and the conditions of human formation</w:t>
      </w:r>
    </w:p>
    <w:p>
      <w:pPr>
        <w:keepLines w:val="0"/>
      </w:pPr>
      <w:r>
        <w:t>The investigation will compare the conditions that support mental fitness across several historical periods. It will not presume that people today are simply weaker, that earlier life was healthier, or that changes in diagnosis prove changes in underlying illness. The narrower question is whether the conditions needed for attention, emotional regulation, sound judgment, self-command, resilience, healthy relationships, and responsible freedom have improved or deteriorated, and how those changes affect education and family formation.</w:t>
      </w:r>
    </w:p>
    <w:p>
      <w:pPr>
        <w:keepLines w:val="0"/>
      </w:pPr>
      <w:r>
        <w:t>The analysis will keep three categories separate: diagnosable mental illness; mental fitness, meaning the practiced capacities of attention, emotional regulation, resilience, judgment, and self-command; and formation conditions, meaning family, school, faith, community, economics, health, and technology. This distinction avoids treating illness as moral failure or treating every loss of discipline and agency as a medical disorder.</w:t>
      </w:r>
    </w:p>
    <w:p>
      <w:pPr>
        <w:pStyle w:val="ListBullet"/>
      </w:pPr>
      <w:r>
        <w:t>Attention and cognitive endurance: sustained reading, memory, concentration, uninterrupted work, and dependence on screens, search, or AI.</w:t>
      </w:r>
    </w:p>
    <w:p>
      <w:pPr>
        <w:pStyle w:val="ListBullet"/>
      </w:pPr>
      <w:r>
        <w:t>Emotional regulation: anxiety, depression, loneliness, anger, fear, tolerance of frustration, uncertainty, disagreement, and delayed gratification.</w:t>
      </w:r>
    </w:p>
    <w:p>
      <w:pPr>
        <w:pStyle w:val="ListBullet"/>
      </w:pPr>
      <w:r>
        <w:t>Agency and resilience: responsibility, persistence, problem solving, recovery after failure, and dependence on institutions, experts, medication, technology, or social approval.</w:t>
      </w:r>
    </w:p>
    <w:p>
      <w:pPr>
        <w:pStyle w:val="ListBullet"/>
      </w:pPr>
      <w:r>
        <w:t>Family formation: stability, parental availability, economic pressure, shared meals, conversation, reading, faith, supervision, and multigenerational support.</w:t>
      </w:r>
    </w:p>
    <w:p>
      <w:pPr>
        <w:pStyle w:val="ListBullet"/>
      </w:pPr>
      <w:r>
        <w:t>Community and belonging: congregations, neighborhoods, civic associations, clubs, extended family, faceto-face friendship, trusted correction, and shared sources of meaning.</w:t>
      </w:r>
    </w:p>
    <w:p>
      <w:pPr>
        <w:pStyle w:val="ListBullet"/>
      </w:pPr>
      <w:r>
        <w:t>Educational conditions: classroom order, teacher authority, absenteeism, discipline, preparedness, motivation, special education, and the expanding social functions assigned to schools.</w:t>
      </w:r>
    </w:p>
    <w:p>
      <w:pPr>
        <w:pStyle w:val="ListBullet"/>
      </w:pPr>
      <w:r>
        <w:t>Material and historical conditions: poverty, nutrition, housing, work demands, physical safety, healthcare, child labor, infectious disease, war, discrimination, and access to education.</w:t>
      </w:r>
    </w:p>
    <w:p>
      <w:pPr>
        <w:pStyle w:val="ListBullet"/>
      </w:pPr>
      <w:r>
        <w:t>Technology and information pressure: television, internet, smartphones, social media, gaming, pornography, algorithmic persuasion, constant crisis exposure, and AI-mediated thought.</w:t>
      </w:r>
    </w:p>
    <w:p>
      <w:pPr>
        <w:pStyle w:val="ListBullet"/>
      </w:pPr>
      <w:r>
        <w:t>Diagnosis and treatment: changes in definitions, reporting, institutionalization, medication, therapy, recognition of hidden disorders, and possible medicalization of educational, familial, spiritual, or behavioral problems. The comparison will use multiple reference periods rather than an idealized past: preindustrial and early American life; the late nineteenth and early twentieth centuries; the postwar period; the pre-internet period; the smartphone and social-media era; the COVID-19 disruption; and the emerging AI era. Evidence will be adjusted, where possible, for changing definitions, reporting practices, population composition, longevity, access to care, and the historical concealment of family and psychological problems.</w:t>
      </w:r>
    </w:p>
    <w:p>
      <w:pPr>
        <w:pStyle w:val="Heading2"/>
      </w:pPr>
      <w:r>
        <w:t>COVID 19 as a stress test of wellness and formation</w:t>
      </w:r>
    </w:p>
    <w:p>
      <w:pPr>
        <w:keepLines w:val="0"/>
      </w:pPr>
      <w:r>
        <w:t>COVID-19 will be treated as a defined historical disruption and a real-world stress test of pre-existing wellness and formation. It did not create every weakness in a person, family, school, or community. It disrupted the external structures that had helped many people maintain equilibrium and may have intensified existing emotional dysregulation, family instability, loneliness, weak routines, academic difficulty, economic pressure, and technological dependence.</w:t>
      </w:r>
    </w:p>
    <w:p>
      <w:pPr>
        <w:keepLines w:val="0"/>
      </w:pPr>
      <w:r>
        <w:t>The central comparison is between those who entered the disruption with stronger internal capacities and supportive relationships and those whose stability was already fragile.</w:t>
      </w:r>
    </w:p>
    <w:p>
      <w:pPr>
        <w:pStyle w:val="ListBullet"/>
      </w:pPr>
      <w:r>
        <w:t>Closures: compare the authority, evidence, duration, regional variation, reopening criteria, and transparency behind school and university closures.</w:t>
      </w:r>
    </w:p>
    <w:p>
      <w:pPr>
        <w:pStyle w:val="ListBullet"/>
      </w:pPr>
      <w:r>
        <w:t>Transfer to families: document how parents became supervisors, tutors, technology coordinators, and substitute teachers while also managing work, illness, finances, and other children.</w:t>
      </w:r>
    </w:p>
    <w:p>
      <w:pPr>
        <w:pStyle w:val="ListBullet"/>
      </w:pPr>
      <w:r>
        <w:t>Interrupted education: identify students who received effective home support, improvised participation, or little meaningful instruction, without equating attendance or completed assignments with learning.</w:t>
      </w:r>
    </w:p>
    <w:p>
      <w:pPr>
        <w:pStyle w:val="ListBullet"/>
      </w:pPr>
      <w:r>
        <w:t>Emergency remote instruction: distinguish hurried crisis teaching from deliberately designed online education, and examine teacher preparation, curriculum quality, student contact, attention, assessment, and technological reliability.</w:t>
      </w:r>
    </w:p>
    <w:p>
      <w:pPr>
        <w:pStyle w:val="ListBullet"/>
      </w:pPr>
      <w:r>
        <w:t>Unequal consequences: compare access to adult supervision, devices, internet, quiet space, tutoring, therapies, language support, and services for students with disabilities.</w:t>
      </w:r>
    </w:p>
    <w:p>
      <w:pPr>
        <w:pStyle w:val="ListBullet"/>
      </w:pPr>
      <w:r>
        <w:t>Family effects: examine parental visibility into curriculum, increased involvement, exhaustion, conflict, job disruption, financial pressure, institutional trust, and reconsideration of schooling choices.</w:t>
      </w:r>
    </w:p>
    <w:p>
      <w:pPr>
        <w:pStyle w:val="ListBullet"/>
      </w:pPr>
      <w:r>
        <w:t>Whole-person wellness: examine psychological regulation, family and friendship support, sleep, exercise, nutrition, outdoor activity, attention, learning, purpose, responsibility, hope, faith or guiding principles, and the difference between temporary distress, clinical disorder, and a broader loss of equilibrium.</w:t>
      </w:r>
    </w:p>
    <w:p>
      <w:pPr>
        <w:pStyle w:val="ListBullet"/>
      </w:pPr>
      <w:r>
        <w:t>Academic effects: compare literacy, mathematics, attendance, engagement, graduation, college readiness, and recovery before, during, and after the disruption by age and student population.</w:t>
      </w:r>
    </w:p>
    <w:p>
      <w:pPr>
        <w:pStyle w:val="ListBullet"/>
      </w:pPr>
      <w:r>
        <w:t>Institutional comparison: evaluate public, charter, private secular, faith-based, classical, hybrid, homeschool-support, community-college, vocational, and university responses without assuming uniform performance within either public or private education.</w:t>
      </w:r>
    </w:p>
    <w:p>
      <w:pPr>
        <w:pStyle w:val="ListBullet"/>
      </w:pPr>
      <w:r>
        <w:t>Alternative education: distinguish intentional homeschooling from emergency schooling at home and examine the growth and durability of learning pods, microschools, cooperatives, hybrid programs, and parent-directed education.</w:t>
      </w:r>
    </w:p>
    <w:p>
      <w:pPr>
        <w:pStyle w:val="ListBullet"/>
      </w:pPr>
      <w:r>
        <w:t>Universities: assess instructional quality, laboratory and clinical disruption, student support, tuition decisions, campus life, remote proctoring, surveillance, learning outcomes, and dependence on educationtechnology vendors.</w:t>
      </w:r>
    </w:p>
    <w:p>
      <w:pPr>
        <w:pStyle w:val="ListBullet"/>
      </w:pPr>
      <w:r>
        <w:t>Authority and trust: determine how parents, teachers, unions, health agencies, administrators, courts, and elected officials influenced decisions, and whether educational, developmental, medical, economic, and family harms were weighed openly.</w:t>
      </w:r>
    </w:p>
    <w:p>
      <w:pPr>
        <w:pStyle w:val="ListBullet"/>
      </w:pPr>
      <w:r>
        <w:t>Recovery and accountability: compare relief spending and formal programs with the restoration of attention, learning, routines, physical activity, friendship, family order, emotional regulation, responsibility, purpose, trust, and independent agency.</w:t>
      </w:r>
    </w:p>
    <w:p>
      <w:pPr>
        <w:pStyle w:val="ListBullet"/>
      </w:pPr>
      <w:r>
        <w:t>Bridge to AI: examine how remote schooling normalized platform-mediated instruction, device dependence, automated monitoring, and digital content, and what this experience shows that technology can and cannot replace. The central proposition to test is that COVID-19 widened differences in resilience: people with stronger psychological, relational, physical, intellectual, moral, and spiritual supports were generally better positioned to preserve stability, while those already experiencing dysregulation, family instability, limited friendship, weak routines, or other vulnerabilities faced a greater risk of losing a fragile status quo. This is a research hypothesis, not a moral verdict. Many vulnerabilities arose from circumstances people did not choose, and many people showed unexpected resilience or recovered through help, responsibility, treatment, faith, education, and renewed relationships.</w:t>
      </w:r>
    </w:p>
    <w:p>
      <w:pPr>
        <w:pStyle w:val="Heading2"/>
      </w:pPr>
      <w:r>
        <w:t>The wellness comparison</w:t>
      </w:r>
    </w:p>
    <w:p>
      <w:pPr>
        <w:pStyle w:val="ListBullet"/>
      </w:pPr>
      <w:r>
        <w:t>Compare baseline conditions before the disruption rather than treating all participants as equally situated.</w:t>
      </w:r>
    </w:p>
    <w:p>
      <w:pPr>
        <w:pStyle w:val="ListBullet"/>
      </w:pPr>
      <w:r>
        <w:t>Identify which supports remained available when school, work, worship, recreation, therapy, and ordinary friendship were interrupted.</w:t>
      </w:r>
    </w:p>
    <w:p>
      <w:pPr>
        <w:pStyle w:val="ListBullet"/>
      </w:pPr>
      <w:r>
        <w:t>Test whether family regulation, close friendships, meaningful routines, physical activity, economic stability, faith or purpose, and independent learning predicted continuity or recovery.</w:t>
      </w:r>
    </w:p>
    <w:p>
      <w:pPr>
        <w:pStyle w:val="ListBullet"/>
      </w:pPr>
      <w:r>
        <w:t>Test whether prior anxiety, depression, addiction, family conflict, social isolation, academic weakness, screen dependence, disability-related service loss, or economic insecurity predicted greater deterioration.</w:t>
      </w:r>
    </w:p>
    <w:p>
      <w:pPr>
        <w:pStyle w:val="ListBullet"/>
      </w:pPr>
      <w:r>
        <w:t>Separate immediate distress from persistent change, and compare recovery trajectories after institutions reopened.</w:t>
      </w:r>
    </w:p>
    <w:p>
      <w:pPr>
        <w:pStyle w:val="ListBullet"/>
      </w:pPr>
      <w:r>
        <w:t>Examine exceptions and counterexamples so that protective factors are not mistaken for guarantees and vulnerability is not treated as destiny.</w:t>
      </w:r>
    </w:p>
    <w:p>
      <w:pPr>
        <w:pStyle w:val="Heading2"/>
      </w:pPr>
      <w:r>
        <w:t>Phase One representative institutional comparison</w:t>
      </w:r>
    </w:p>
    <w:p>
      <w:pPr>
        <w:keepLines w:val="0"/>
      </w:pPr>
      <w:r>
        <w:t>A companion first-phase comparison now examines eleven contrasting institutions across public K–12, classical charter, independent secondary, community-college, public-research, private-research, Catholic, technical, and Great Books models. It evaluates institutional purpose, AI integration, academic-integrity rules, cognitive safeguards, teacher preparation, privacy, and the difference between published policy and demonstrated practice. The preliminary finding is that the decisive divide is not simply public versus private or traditional versus technological.</w:t>
      </w:r>
    </w:p>
    <w:p>
      <w:pPr>
        <w:keepLines w:val="0"/>
      </w:pPr>
      <w:r>
        <w:t>The stronger approaches identify which human capacities education must preserve and then explain when AI may extend them. The next phase will build evidence-graded case files before expanding the sample or issuing final rankings.</w:t>
      </w:r>
    </w:p>
    <w:p>
      <w:pPr>
        <w:pStyle w:val="Heading2"/>
      </w:pPr>
      <w:r>
        <w:t>The institutional audit</w:t>
      </w:r>
    </w:p>
    <w:p>
      <w:pPr>
        <w:pStyle w:val="ListBullet"/>
      </w:pPr>
      <w:r>
        <w:t>Purpose: What human good is the institution constituted to serve?</w:t>
      </w:r>
    </w:p>
    <w:p>
      <w:pPr>
        <w:pStyle w:val="ListBullet"/>
      </w:pPr>
      <w:r>
        <w:t>Authority: From where does its power arise, and what limits it?</w:t>
      </w:r>
    </w:p>
    <w:p>
      <w:pPr>
        <w:pStyle w:val="ListBullet"/>
      </w:pPr>
      <w:r>
        <w:t>Truth: How are claims tested, corrected, archived, and exposed to opposition?</w:t>
      </w:r>
    </w:p>
    <w:p>
      <w:pPr>
        <w:pStyle w:val="ListBullet"/>
      </w:pPr>
      <w:r>
        <w:t>Ethics: What duties constrain means even when leaders believe their end is good?</w:t>
      </w:r>
    </w:p>
    <w:p>
      <w:pPr>
        <w:pStyle w:val="ListBullet"/>
      </w:pPr>
      <w:r>
        <w:t>Money and incentives: Who funds, appoints, accredits, promotes, ranks, sues, or regulates?</w:t>
      </w:r>
    </w:p>
    <w:p>
      <w:pPr>
        <w:pStyle w:val="ListBullet"/>
      </w:pPr>
      <w:r>
        <w:t>Freedom: Can insiders and citizens dissent without disproportionate retaliation?</w:t>
      </w:r>
    </w:p>
    <w:p>
      <w:pPr>
        <w:pStyle w:val="ListBullet"/>
      </w:pPr>
      <w:r>
        <w:t>Results: What measurable outcomes changed, for whom, compared with what?</w:t>
      </w:r>
    </w:p>
    <w:p>
      <w:pPr>
        <w:pStyle w:val="ListBullet"/>
      </w:pPr>
      <w:r>
        <w:t>Repair: Can the institution admit error, compensate injury, remove conflicts, and change procedure?</w:t>
      </w:r>
    </w:p>
    <w:p>
      <w:pPr>
        <w:pStyle w:val="Heading2"/>
      </w:pPr>
      <w:r>
        <w:t>Conclusion The recovery of agency</w:t>
      </w:r>
    </w:p>
    <w:p>
      <w:pPr>
        <w:keepLines w:val="0"/>
      </w:pPr>
      <w:r>
        <w:t>The well-formed mind is not the property of an elite, a party, a credential, or an IQ score. It is an achievement of education, habit, grace, correction, work, and community. It seeks truth but knows its own fallibility; values common sense but tests intuition; honors faith without demanding credulity; respects expertise without surrendering judgment; loves country without falsifying history; uses technology without accepting servitude; and submits power—including friendly power—to ethics and law.</w:t>
      </w:r>
    </w:p>
    <w:p>
      <w:pPr>
        <w:keepLines w:val="0"/>
      </w:pPr>
      <w:r>
        <w:t>The present moment is consequential because AI makes intellectual passivity cheaper, persuasion more personalized, surveillance more scalable, and automation more capable. It also makes knowledge, tutoring, analysis, and creation more accessible. The decisive contest is therefore not man against machine. It is formation against abdication. A civilization that teaches its children to read deeply, reason honestly, govern appetite, work competently, love truth, practice courage, and answer to an order higher than power can use AI as an instrument.</w:t>
      </w:r>
    </w:p>
    <w:p>
      <w:pPr>
        <w:keepLines w:val="0"/>
      </w:pPr>
      <w:r>
        <w:t>A civilization that does not may retain astonishing machines while losing the human capacities needed to direct them.</w:t>
      </w:r>
    </w:p>
    <w:p>
      <w:pPr>
        <w:pStyle w:val="Heading2"/>
      </w:pPr>
      <w:r>
        <w:t>Notes and primary sources</w:t>
      </w:r>
    </w:p>
    <w:p>
      <w:pPr>
        <w:keepLines w:val="0"/>
      </w:pPr>
      <w:r>
        <w:t>1. Plato, Apology, trans. Benjamin Jowett, especially 38a, MIT Classics Archive. https://classics.mit.edu/Plato/apology.html 2. Plato, Republic, especially Books IV, VI–VII, and X, Perseus Digital Library or a reliable print edition. 3. Aristotle, Nicomachean Ethics, Book II, MIT Classics Archive. https://classics.mit.edu/Aristotle/nicomachaen.2.ii.html 4. Thomas Aquinas, Summa Theologiae, especially I–II on human acts, habits, virtue, and law; Stanford Encyclopedia of Philosophy, “Aquinas.” https://plato.stanford.edu/entries/aquinas/ 5.</w:t>
      </w:r>
    </w:p>
    <w:p>
      <w:pPr>
        <w:keepLines w:val="0"/>
      </w:pPr>
      <w:r>
        <w:t>National Center for Education Statistics, 2024 NAEP Reading and Mathematics Results. https://www.nationsreportcard.gov/reports/reading/2024/g4_8/ and https://www.nationsreportcard.gov/reports/mathematics/2024/g4_8/ 6. National Assessment Governing Board, “Top 5 Takeaways from 12th Grade NAEP Math and Reading Results,” 2025. https://www.nagb.gov/powered-by-naep/the-2024-nations-report-card/top-5-takeaways-from-12-grade-naep-math-readingresults.html 7.</w:t>
      </w:r>
    </w:p>
    <w:p>
      <w:pPr>
        <w:keepLines w:val="0"/>
      </w:pPr>
      <w:r>
        <w:t>OECD, PISA 2022 Results and “Managing Screen Time,” 2024. https://www.oecd.org/content/dam/oecd/en/publications/reports/2024/05/managing-screen-time_023f2390/7c225af4-en.pdf 8. Institute of Education Sciences, Organizing Instruction and Study to Improve Student Learning. https://ies.ed.gov/ncee/wwc/practiceguide/1 9. U.S. Department of Education, “The Federal Role in Education.” https://www.ed.gov/about/ed-overview/federal-role-in-education 10.</w:t>
      </w:r>
    </w:p>
    <w:p>
      <w:pPr>
        <w:keepLines w:val="0"/>
      </w:pPr>
      <w:r>
        <w:t>Executive Order on Transparency Regarding Foreign Influence at American Universities, April 23, 2025. https://www.whitehouse.gov/presidential-actions/2025/04/transparency-regarding-foreign-influence-at-american-universities/ 11. United States v. Philip Morris USA Inc., 566 F.3d 1095 (D.C. Cir. 2009), affirming civil RICO findings; U.S. Department of Justice tobacco litigation archive. 12. Cristin E. Kearns, Laura A. Schmidt, and Stanton A. Glantz, “Sugar Industry and Coronary Heart Disease Research,” JAMA Internal Medicine 176, no.</w:t>
      </w:r>
    </w:p>
    <w:p>
      <w:pPr>
        <w:keepLines w:val="0"/>
      </w:pPr>
      <w:r>
        <w:t>11 (2016). https://jamanetwork.com/journals/jamainternalmedicine/fullarticle/2548255 13. The Lancet, “Retraction—Hydroxychloroquine or chloroquine with or without a macrolide…,” 2020; New England Journal of Medicine, “Retraction: Cardiovascular Disease, Drug Therapy, and Mortality in Covid-19,” 2020. 14. U.S. Government Accountability Office, pandemic learning-loss materials and national education evidence. https://www.gao.gov/video/pandemic-learning-loss</w:t>
      </w:r>
    </w:p>
    <w:p>
      <w:pPr>
        <w:keepLines w:val="0"/>
      </w:pPr>
      <w:r>
        <w:t>15. Intergovernmental Panel on Climate Change, statement on the melting of Himalayan glaciers, January 20, 2010. 16. Zeke Hausfather and Glen P. Peters, “Emissions—the ‘business as usual’ story is misleading,” Nature 577 (2020). https://www.nature.com/articles/d41586-020-00177-3 17. Office of the U.S. Surgeon General, Parents Under Pressure: The U.S. Surgeon General’s Advisory on the Mental Health and Well-Being of Parents, 2024. https://www.ncbi.nlm.nih.gov/books/NBK606662/ 18. U.S. Senate Select Committee on Intelligence, Russian Active Measures Campaigns and Interference in the 2016 U.S. Election, Volumes 1–5.</w:t>
      </w:r>
    </w:p>
    <w:p>
      <w:pPr>
        <w:keepLines w:val="0"/>
      </w:pPr>
      <w:r>
        <w:t>19. Executive Order 14149, “Restoring Freedom of Speech and Ending Federal Censorship,” 90 FR 8243. https://www.federalregister.gov/documents/2025/01/28/2025-01902/restoring-freedom-of-speech-and-ending-federal-censorship 20. Executive Order 14190, “Ending Radical Indoctrination in K–12 Schooling,” 90 FR 8853. https://www.federalregister.gov/documents/2025/02/03/2025-02232/ending-radical-indoctrination-in-k-12-schooling 21.</w:t>
      </w:r>
    </w:p>
    <w:p>
      <w:pPr>
        <w:keepLines w:val="0"/>
      </w:pPr>
      <w:r>
        <w:t>Executive Order, “Reforming Accreditation to Strengthen Higher Education,” April 23, 2025. https://www.whitehouse.gov/presidential-actions/2025/04/reforming-accreditation-to-strengthen-higher-education/ 22. Executive Order 14277, “Advancing Artificial Intelligence Education for American Youth,” April 23, 2025. https://www.whitehouse.gov/presidential-actions/2025/04/advancing-artificial-intelligence-education-for-american-youth/ 23. The White House, America’s AI Action Plan, July 2025. https://www.whitehouse.gov/wp-content/uploads/2025/07/Americas-AIAction-Plan.pdf 24.</w:t>
      </w:r>
    </w:p>
    <w:p>
      <w:pPr>
        <w:keepLines w:val="0"/>
      </w:pPr>
      <w:r>
        <w:t>National Institute of Standards and Technology, AI Risk Management Framework. https://www.nist.gov/itl/ai-risk-managementframework 25. U.S. Department of Education, Artificial Intelligence and the Future of Teaching and Learning, 2023. https://www.ed.gov/sites/ed/files/documents/ai-report/ai-report.pdf 26. National Institute of Mental Health, “Schizophrenia.” https://www.nimh.nih.gov/health/topics/schizophrenia 27. California Department of Education, “Schooling at Home.” https://www.cde.ca.gov/sp/ps/homeschool.asp 28.</w:t>
      </w:r>
    </w:p>
    <w:p>
      <w:pPr>
        <w:keepLines w:val="0"/>
      </w:pPr>
      <w:r>
        <w:t>National Center for Education Statistics, “Homeschooling in the United States.” https://nces.ed.gov/fastfacts/display.asp?id=91 29. U.S. Government Accountability Office, Scientific Integrity: HHS Agencies Need to Develop Procedures and Train Staff on Reporting and Addressing Political Interference, GAO-22-104613, 2022. 30. Mortimer J. Adler, The Paideia Proposal: An Educational Manifesto (1982), and How to Read a Book, with Charles Van Doren (rev. ed., 1972). 31. U.S.</w:t>
      </w:r>
    </w:p>
    <w:p>
      <w:pPr>
        <w:keepLines w:val="0"/>
      </w:pPr>
      <w:r>
        <w:t>Department of Education, Designing for Education with Artificial Intelligence: An Essential Guide for Developers, 2024. https://www.ed.gov/media/document/designing-education-artificial-intelligence-essentialguide-developers-10573.pdf</w:t>
      </w:r>
    </w:p>
    <w:p>
      <w:pPr>
        <w:pStyle w:val="Heading2"/>
      </w:pPr>
      <w:r>
        <w:t>Current educational AI sources</w:t>
      </w:r>
    </w:p>
    <w:p>
      <w:pPr>
        <w:pStyle w:val="ListBullet"/>
      </w:pPr>
      <w:r>
        <w:t>UNESCO, Guidance for Generative AI in Education and Research: https://www.unesco.org/en/articles/guidance-generative-ai-education-and-research</w:t>
      </w:r>
    </w:p>
    <w:p>
      <w:pPr>
        <w:pStyle w:val="ListBullet"/>
      </w:pPr>
      <w:r>
        <w:t>Khan Academy, Khanmigo student tutor and teacher tools: https://www.khanmigo.ai/ and https://www.khanmigo.ai/teachers</w:t>
      </w:r>
    </w:p>
    <w:p>
      <w:pPr>
        <w:pStyle w:val="ListBullet"/>
      </w:pPr>
      <w:r>
        <w:t>Khan Academy, 2023 to 2024 Annual Report: https://2023-2024.annualreport.khanacademy.org/</w:t>
      </w:r>
    </w:p>
    <w:p>
      <w:pPr>
        <w:pStyle w:val="ListBullet"/>
      </w:pPr>
      <w:r>
        <w:t>OpenAI, Using Study Mode in ChatGPT: https://help.openai.com/en/articles/11780217-chatgpt-study-modefaq</w:t>
      </w:r>
    </w:p>
    <w:p>
      <w:pPr>
        <w:pStyle w:val="ListBullet"/>
      </w:pPr>
      <w:r>
        <w:t>Google, LearnLM and Gemini Guided Learning: https://cloud.google.com/solutions/learnlm and https://blog.google/products-and-platforms/products/education/guided-learning/</w:t>
      </w:r>
    </w:p>
    <w:p>
      <w:pPr>
        <w:pStyle w:val="ListBullet"/>
      </w:pPr>
      <w:r>
        <w:t>Google for Education, Gemini Notebook: https://edu.google.com/ai-gemini-notebook/</w:t>
      </w:r>
    </w:p>
    <w:p>
      <w:pPr>
        <w:pStyle w:val="ListBullet"/>
      </w:pPr>
      <w:r>
        <w:t>Microsoft, Reading Coach: https://support.microsoft.com/en-us/education/learning-accelerators/gettingstarted-with-reading-coach</w:t>
      </w:r>
    </w:p>
    <w:p>
      <w:pPr>
        <w:pStyle w:val="Heading2"/>
      </w:pPr>
      <w:r>
        <w:t>Editorial cautions for the next draft</w:t>
      </w:r>
    </w:p>
    <w:p>
      <w:pPr>
        <w:pStyle w:val="ListBullet"/>
      </w:pPr>
      <w:r>
        <w:t>Verify every quotation against a named edition; avoid inherited aphorisms falsely attributed to classical authors.</w:t>
      </w:r>
    </w:p>
    <w:p>
      <w:pPr>
        <w:pStyle w:val="ListBullet"/>
      </w:pPr>
      <w:r>
        <w:t>Update all current-administration implementation claims and litigation status immediately before publication.</w:t>
      </w:r>
    </w:p>
    <w:p>
      <w:pPr>
        <w:pStyle w:val="ListBullet"/>
      </w:pPr>
      <w:r>
        <w:t>Use “alleged,” “documented,” “retracted,” “misconduct,” “capture,” and “subversion” only at the evidentiary level each word requires.</w:t>
      </w:r>
    </w:p>
    <w:p>
      <w:pPr>
        <w:pStyle w:val="ListBullet"/>
      </w:pPr>
      <w:r>
        <w:t>Do not infer causation from test-score trend, funding relationship, ideological similarity, or temporal sequence alone.</w:t>
      </w:r>
    </w:p>
    <w:p>
      <w:pPr>
        <w:pStyle w:val="ListBullet"/>
      </w:pPr>
      <w:r>
        <w:t>Seek the strongest informed counterargument and offer subjects a fair opportunity to respond before alleging concealed or unlawful conduct.</w:t>
      </w:r>
    </w:p>
    <w:p>
      <w:pPr>
        <w:pStyle w:val="ListBullet"/>
      </w:pPr>
      <w:r>
        <w:t>Distinguish the author’s ethical judgment from empirical findings and official claims throughout.</w:t>
      </w:r>
    </w:p>
    <w:p>
      <w:pPr>
        <w:pStyle w:val="Heading2"/>
      </w:pPr>
      <w:r>
        <w:t>California schools and institutions: a dedicated phase</w:t>
      </w:r>
    </w:p>
    <w:p>
      <w:pPr>
        <w:keepLines w:val="0"/>
      </w:pPr>
      <w:r>
        <w:t>California warrants its own institutional comparison because its educational landscape combines statewide K–12 governance, large urban districts, charter and independent schools, three major public higher-education systems, faith-based institutions, and globally influential technology universities.</w:t>
      </w:r>
    </w:p>
    <w:p>
      <w:pPr>
        <w:pStyle w:val="ListBullet"/>
      </w:pPr>
      <w:r>
        <w:t>Scope: California Department of Education; Los Angeles and San Diego Unified; High Tech High; HarvardWestlake; Mother of Divine Grace School; California Community Colleges; CSU; UC; Berkeley; UCLA; Stanford; USC; Caltech; Loyola Marymount; and Thomas Aquinas College.</w:t>
      </w:r>
    </w:p>
    <w:p>
      <w:pPr>
        <w:pStyle w:val="ListBullet"/>
      </w:pPr>
      <w:r>
        <w:t>Preliminary conclusion: California is adoption-forward but decentralized. The meaningful divide is not public versus private; it is whether an institution states and protects the human capacities AI must serve.</w:t>
      </w:r>
    </w:p>
    <w:p>
      <w:pPr>
        <w:pStyle w:val="ListBullet"/>
      </w:pPr>
      <w:r>
        <w:t>Notable signals: Berkeley connects AI policy to pedagogy and independent work; Harvard-Westlake offers a nontechnical ethics-and-society course; LMU links AI deliberation to Ignatian pedagogy; Mother of Divine Grace combines a staged classical curriculum with direct parental responsibility; Thomas Aquinas College uses one integrated Great Books curriculum built around primary texts, discussion, proof, and laboratory inquiry; and the community-college system explicitly says technology should amplify rather than replace human capacity.</w:t>
      </w:r>
    </w:p>
    <w:p>
      <w:pPr>
        <w:pStyle w:val="ListBullet"/>
      </w:pPr>
      <w:r>
        <w:t>Principal gap: public policies greatly exceed public outcome evidence. The next phase must test classroom consistency, unaided competence, privacy and vendor governance, family/student rights, authorship, and measurable educational benefit. Companion report: California Schools, Universities, AI, and Human Formation—California Phase One (September 2026).</w:t>
      </w:r>
    </w:p>
    <w:p>
      <w:pPr>
        <w:pStyle w:val="Heading2"/>
      </w:pPr>
      <w:r>
        <w:t>Evidence phase conclusion</w:t>
      </w:r>
    </w:p>
    <w:p>
      <w:pPr>
        <w:keepLines w:val="0"/>
      </w:pPr>
      <w:r>
        <w:t>The California investigation has moved beyond preliminary profiles. The evidence supports a provisional conclusion: coherent classical institutions have a structural advantage in forming judgment because purpose, curriculum, pedagogy, and adult responsibility reinforce one another. Large public and research institutions have countervailing advantages in access, specialized knowledge, disability support, workforce pathways, formal AI governance, and published outcomes. No institution yet demonstrates the complete model.</w:t>
      </w:r>
    </w:p>
    <w:p>
      <w:pPr>
        <w:keepLines w:val="0"/>
      </w:pPr>
      <w:r>
        <w:t>The strongest synthesis would combine classical formation and visible independent work with transparent AI rules, privacy protections, practical pathways, broad access, and comparable evidence of learning. Mother of Divine Grace School and Thomas Aquinas College are now treated as formation benchmarks, while Berkeley, Loyola Marymount, Harvard-Westlake, and the California Community Colleges provide important AI-governance and human-centered contrasts.</w:t>
      </w:r>
    </w:p>
    <w:p>
      <w:pPr>
        <w:keepLines w:val="0"/>
      </w:pPr>
      <w:r>
        <w:t>The companion California report now includes evidence-phase findings on curriculum coherence, scale and fragmentation, AI formation, independent demonstration, COVID-19, mental fitness, outcomes, provisional institutional judgments, and the documents and interviews required before final rankings.</w:t>
      </w:r>
    </w:p>
    <w:sectPr w:rsidR="00FC693F" w:rsidRPr="0006063C" w:rsidSect="00034616">
      <w:footerReference w:type="default" r:id="rId9"/>
      <w:pgSz w:w="12240" w:h="15840"/>
      <w:pgMar w:top="1123"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464"/>
        <w:sz w:val="16"/>
      </w:rPr>
      <w:t>The Well Formed Mind Research Master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Georgia" w:hAnsi="Georgia"/>
      <w:b w:val="0"/>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Georgia" w:hAnsi="Georgia"/>
      <w:b w:val="0"/>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Metadata">
    <w:name w:val="Document Metadata"/>
    <w:pPr>
      <w:spacing w:after="80"/>
    </w:pPr>
    <w:rPr>
      <w:rFonts w:ascii="Aptos" w:hAnsi="Aptos"/>
      <w:color w:val="50505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Well Formed Mind Research Master</dc:title>
  <dc:subject>Philosophy education human formation and artificial intelligence</dc:subject>
  <dc:creator>Patrick Russell</dc:creator>
  <cp:keywords/>
  <dc:description>Recovered Word copy created from the preserved text of Library version 10 after the original binary download was unavailable.</dc:description>
  <cp:lastModifiedBy/>
  <cp:revision>1</cp:revision>
  <dcterms:created xsi:type="dcterms:W3CDTF">2013-12-23T23:15:00Z</dcterms:created>
  <dcterms:modified xsi:type="dcterms:W3CDTF">2013-12-23T23:15:00Z</dcterms:modified>
  <cp:category/>
</cp:coreProperties>
</file>