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ns0:document xmlns:ns0="http://schemas.openxmlformats.org/wordprocessingml/2006/main" xmlns:ns1="http://schemas.openxmlformats.org/markup-compatibility/2006" xmlns:ns2="http://schemas.openxmlformats.org/drawingml/2006/wordprocessingDrawing" xmlns:ns3="http://schemas.openxmlformats.org/drawingml/2006/main" xmlns:ns4="http://schemas.openxmlformats.org/drawingml/2006/picture" xmlns:ns5="http://schemas.openxmlformats.org/officeDocument/2006/relationships" ns1:Ignorable="w14 wp14">
  <ns0:body>
    <ns0:p/>
    <ns0:p/>
    <ns0:p/>
    <ns0:p/>
    <ns0:p>
      <ns0:pPr>
        <ns0:spacing ns0:after="240"/>
        <ns0:jc ns0:val="center"/>
      </ns0:pPr>
      <ns0:r>
        <ns0:rPr>
          <ns0:rFonts ns0:ascii="Calibri" ns0:hAnsi="Calibri"/>
          <ns0:b/>
          <ns0:color ns0:val="17324D"/>
          <ns0:sz ns0:val="60"/>
        </ns0:rPr>
        <ns0:t>WHERE SOCIETY MEETS AI</ns0:t>
      </ns0:r>
    </ns0:p>
    <ns0:p>
      <ns0:pPr>
        <ns0:spacing ns0:after="180"/>
        <ns0:jc ns0:val="center"/>
      </ns0:pPr>
      <ns0:r>
        <ns0:rPr>
          <ns0:color ns0:val="2E526C"/>
          <ns0:sz ns0:val="30"/>
        </ns0:rPr>
        <ns0:t>A Visual Investigation of How AI Works, Who Shapes It, What It Promises, and What Humanity Must Preserve</ns0:t>
      </ns0:r>
    </ns0:p>
    <ns0:p>
      <ns0:pPr>
        <ns0:keepLines/>
        <ns0:spacing ns0:before="40" ns0:after="240"/>
        <ns0:jc ns0:val="center"/>
      </ns0:pPr>
      <ns0:r>
        <ns0:drawing>
          <ns2:inline>
            <ns2:extent cx="5349240" cy="3566160"/>
            <ns2:docPr id="11" name="Where Society Meets AI investigation illustration" descr="Conceptual illustration of society meeting artificial intelligence: a titanium-colored network sphere connects to education, healthcare, industry and energy, cybersecurity, and a human review group, emphasizing that AI affects many fields while accountability remains with people and institutions." title="Where Society Meets AI"/>
            <ns2:cNvGraphicFramePr>
              <ns3:graphicFrameLocks noChangeAspect="1"/>
            </ns2:cNvGraphicFramePr>
            <ns3:graphic>
              <ns3:graphicData uri="http://schemas.openxmlformats.org/drawingml/2006/picture">
                <ns4:pic>
                  <ns4:nvPicPr>
                    <ns4:cNvPr id="0" name="where-society-meets-ai-investigation-illustration.png"/>
                    <ns4:cNvPicPr/>
                  </ns4:nvPicPr>
                  <ns4:blipFill>
                    <ns3:blip ns5:embed="rId20"/>
                    <ns3:stretch>
                      <ns3:fillRect/>
                    </ns3:stretch>
                  </ns4:blipFill>
                  <ns4:spPr>
                    <ns3:xfrm>
                      <ns3:off x="0" y="0"/>
                      <ns3:ext cx="5349240" cy="3566160"/>
                    </ns3:xfrm>
                    <ns3:prstGeom prst="rect"/>
                  </ns4:spPr>
                </ns4:pic>
              </ns3:graphicData>
            </ns3:graphic>
          </ns2:inline>
        </ns0:drawing>
      </ns0:r>
    </ns0:p>
    <ns0:p>
      <ns0:pPr>
        <ns0:spacing ns0:after="480"/>
        <ns0:jc ns0:val="center"/>
      </ns0:pPr>
      <ns0:r>
        <ns0:rPr>
          <ns0:b/>
          <ns0:color ns0:val="B58A2A"/>
          <ns0:sz ns0:val="21"/>
        </ns0:rPr>
        <ns0:t>VISUAL CONCISE EDITION</ns0:t>
      </ns0:r>
    </ns0:p>
    <ns0:p>
      <ns0:pPr>
        <ns0:jc ns0:val="center"/>
      </ns0:pPr>
      <ns0:r>
        <ns0:rPr>
          <ns0:color ns0:val="5B6570"/>
          <ns0:sz ns0:val="22"/>
        </ns0:rPr>
        <ns0:t>August 31, 2026</ns0:t>
      </ns0:r>
    </ns0:p>
    <ns0:p>
      <ns0:pPr>
        <ns0:spacing ns0:before="0" ns0:after="0"/>
      </ns0:pPr>
      <ns0:r>
        <ns0:br ns0:type="page"/>
      </ns0:r>
    </ns0:p>
    <ns0:p>
      <ns0:pPr>
        <ns0:pStyle ns0:val="Heading1"/>
        <ns0:keepNext/>
        <ns0:keepLines/>
        <ns0:widowControl/>
        <ns0:spacing ns0:after="120"/>
      </ns0:pPr>
      <ns0:r>
        <ns0:t>Executive Summary</ns0:t>
      </ns0:r>
    </ns0:p>
    <ns0:tbl>
      <ns0:tblPr>
        <ns0:tblW ns0:type="dxa" ns0:w="9360"/>
        <ns0:tblLayout ns0:type="fixed"/>
        <ns0:tblLook ns0:firstColumn="1" ns0:firstRow="1" ns0:lastColumn="0" ns0:lastRow="0" ns0:noHBand="0" ns0:noVBand="1" ns0:val="04A0"/>
        <ns0:jc ns0:val="center"/>
        <ns0:tblInd ns0:w="120" ns0:type="dxa"/>
        <ns0:tblCellMar>
          <ns0:top ns0:w="90" ns0:type="dxa"/>
          <ns0:bottom ns0:w="90" ns0:type="dxa"/>
          <ns0:left ns0:w="110" ns0:type="dxa"/>
          <ns0:right ns0:w="110" ns0:type="dxa"/>
        </ns0:tblCellMar>
      </ns0:tblPr>
      <ns0:tblGrid>
        <ns0:gridCol ns0:w="9360"/>
      </ns0:tblGrid>
      <ns0:tr>
        <ns0:trPr>
          <ns0:cantSplit/>
          <ns0:tblHeader/>
        </ns0:trPr>
        <ns0:tc>
          <ns0:tcPr>
            <ns0:tcW ns0:type="dxa" ns0:w="9360"/>
            <ns0:tcMar>
              <ns0:top ns0:w="140" ns0:type="dxa"/>
              <ns0:start ns0:w="170" ns0:type="dxa"/>
              <ns0:bottom ns0:w="140" ns0:type="dxa"/>
              <ns0:end ns0:w="170" ns0:type="dxa"/>
            </ns0:tcMar>
            <ns0:vAlign ns0:val="center"/>
            <ns0:shd ns0:fill="F6EFD9"/>
          </ns0:tcPr>
          <ns0:p>
            <ns0:pPr>
              <ns0:widowControl/>
              <ns0:spacing ns0:after="40" ns0:before="0" ns0:line="269" ns0:lineRule="auto"/>
            </ns0:pPr>
            <ns0:r>
              <ns0:rPr>
                <ns0:b/>
                <ns0:color ns0:val="17324D"/>
                <ns0:sz ns0:val="22"/>
              </ns0:rPr>
              <ns0:t xml:space="preserve">Central argument:  </ns0:t>
            </ns0:r>
            <ns0:r>
              <ns0:rPr>
                <ns0:b/>
                <ns0:color ns0:val="18212A"/>
                <ns0:sz ns0:val="21"/>
              </ns0:rPr>
              <ns0:t>AI should extend examined human judgment—not replace it. Its success must be measured by whether people and institutions become more truthful, capable, free, secure, responsible and wise.</ns0:t>
            </ns0:r>
          </ns0:p>
        </ns0:tc>
      </ns0:tr>
    </ns0:tbl>
    <ns0:p>
      <ns0:pPr>
        <ns0:spacing ns0:after="0" ns0:before="160"/>
      </ns0:pPr>
    </ns0:p>
    <ns0:p>
      <ns0:pPr>
        <ns0:widowControl/>
      </ns0:pPr>
      <ns0:r>
        <ns0:t>Artificial intelligence can analyze information, recognize patterns, generate language and images, automate routine work, and make expertise more accessible. It can also be wrong. A response may be polished, confident and apparently sourced while containing false facts, invented citations, hidden assumptions or a misleading interpretation. The immediate danger is often not nonsense, but plausibility that earns trust it has not earned.</ns0:t>
      </ns0:r>
    </ns0:p>
    <ns0:p>
      <ns0:pPr>
        <ns0:widowControl/>
      </ns0:pPr>
      <ns0:r>
        <ns0:t>The deeper paradox is human. Fluent answers can create the appearance of knowledge without wisdom, making it essential to preserve examination, moral judgment, and responsibility as AI becomes more capable.</ns0:t>
      </ns0:r>
    </ns0:p>
    <ns0:p>
      <ns0:pPr>
        <ns0:widowControl/>
      </ns0:pPr>
      <ns0:r>
        <ns0:t>The promise is equally real. Used deliberately, AI can improve productivity, accessibility, science, education, health, security, creativity and opportunity. Those gains should become pathways for self-improvement, professional advancement, entrepreneurship, stronger institutions and more meaningful human work—not merely a method for reducing headcount or concentrating control.</ns0:t>
      </ns0:r>
    </ns0:p>
    <ns0:p>
      <ns0:pPr>
        <ns0:pStyle ns0:val="ListBullet"/>
        <ns0:widowControl/>
        <ns0:spacing/>
        <ns0:ind ns0:left="540" ns0:hanging="271"/>
      </ns0:pPr>
      <ns0:r>
        <ns0:t>AI generates likely continuations from learned patterns; it does not independently guarantee truth.</ns0:t>
      </ns0:r>
    </ns0:p>
    <ns0:p>
      <ns0:pPr>
        <ns0:pStyle ns0:val="ListBullet"/>
        <ns0:widowControl/>
        <ns0:spacing/>
        <ns0:ind ns0:left="540" ns0:hanging="271"/>
      </ns0:pPr>
      <ns0:r>
        <ns0:t>User framing matters, but a leading question does not mechanically determine the answer. Training, system rules, retrieval, safety policy and model behavior also shape the result.</ns0:t>
      </ns0:r>
    </ns0:p>
    <ns0:p>
      <ns0:pPr>
        <ns0:pStyle ns0:val="ListBullet"/>
        <ns0:widowControl/>
        <ns0:spacing/>
        <ns0:ind ns0:left="540" ns0:hanging="271"/>
      </ns0:pPr>
      <ns0:r>
        <ns0:t>Assisted performance must be separated from independent knowledge, retention and reasoning after assistance is removed.</ns0:t>
      </ns0:r>
    </ns0:p>
    <ns0:p>
      <ns0:pPr>
        <ns0:pStyle ns0:val="ListBullet"/>
        <ns0:widowControl/>
        <ns0:spacing/>
        <ns0:ind ns0:left="540" ns0:hanging="271"/>
      </ns0:pPr>
      <ns0:r>
        <ns0:t>Governance must address threats created by AI and threats against AI systems, including criminal use, capture, poisoning, theft and infrastructure attack.</ns0:t>
      </ns0:r>
    </ns0:p>
    <ns0:p>
      <ns0:pPr>
        <ns0:pStyle ns0:val="ListBullet"/>
        <ns0:widowControl/>
        <ns0:spacing/>
        <ns0:ind ns0:left="540" ns0:hanging="271"/>
      </ns0:pPr>
      <ns0:r>
        <ns0:t>Authority must remain proportional to evidence and risk; consequential decisions require explanation, appeal, verification and identifiable accountability.</ns0:t>
      </ns0:r>
    </ns0:p>
    <ns0:p>
      <ns0:pPr>
        <ns0:spacing ns0:before="0" ns0:after="0"/>
      </ns0:pPr>
      <ns0:r>
        <ns0:br ns0:type="page"/>
      </ns0:r>
    </ns0:p>
    <ns0:p>
      <ns0:pPr>
        <ns0:pStyle ns0:val="Heading1"/>
        <ns0:keepNext/>
        <ns0:keepLines/>
        <ns0:widowControl/>
        <ns0:spacing ns0:after="120"/>
      </ns0:pPr>
      <ns0:r>
        <ns0:t>Contents and Investigation Map</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900"/>
        <ns0:gridCol ns0:w="2700"/>
        <ns0:gridCol ns0:w="5760"/>
      </ns0:tblGrid>
      <ns0:tr>
        <ns0:trPr>
          <ns0:tblHeader ns0:val="true"/>
        </ns0:trPr>
        <ns0:tc>
          <ns0:tcPr>
            <ns0:tcW ns0:type="dxa" ns0:w="9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8"/>
              </ns0:rPr>
              <ns0:t>Section</ns0:t>
            </ns0:r>
          </ns0:p>
        </ns0:tc>
        <ns0:tc>
          <ns0:tcPr>
            <ns0:tcW ns0:type="dxa" ns0:w="27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8"/>
              </ns0:rPr>
              <ns0:t>Subject</ns0:t>
            </ns0:r>
          </ns0:p>
        </ns0:tc>
        <ns0:tc>
          <ns0:tcPr>
            <ns0:tcW ns0:type="dxa" ns0:w="576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8"/>
              </ns0:rPr>
              <ns0:t>Purpose</ns0:t>
            </ns0:r>
          </ns0:p>
        </ns0:tc>
      </ns0:tr>
      <ns0:tr>
        <ns0:tc>
          <ns0:tcPr>
            <ns0:tcW ns0:type="dxa" ns0:w="9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1</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The AI Paradox</ns0:t>
            </ns0:r>
          </ns0:p>
        </ns0:tc>
        <ns0:tc>
          <ns0:tcPr>
            <ns0:tcW ns0:type="dxa" ns0:w="5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Power, error, illusion of wisdom and the human capacity at risk</ns0:t>
            </ns0:r>
          </ns0:p>
        </ns0:tc>
      </ns0:tr>
      <ns0:tr>
        <ns0:tc>
          <ns0:tcPr>
            <ns0:tcW ns0:type="dxa" ns0:w="9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2</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How AI Actually Works</ns0:t>
            </ns0:r>
          </ns0:p>
        </ns0:tc>
        <ns0:tc>
          <ns0:tcPr>
            <ns0:tcW ns0:type="dxa" ns0:w="5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Models, training data, retrieval, bias, misconceptions and the model tests</ns0:t>
            </ns0:r>
          </ns0:p>
        </ns0:tc>
      </ns0:tr>
      <ns0:tr>
        <ns0:tc>
          <ns0:tcPr>
            <ns0:tcW ns0:type="dxa" ns0:w="9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3</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How AI Is Being Used Today</ns0:t>
            </ns0:r>
          </ns0:p>
        </ns0:tc>
        <ns0:tc>
          <ns0:tcPr>
            <ns0:tcW ns0:type="dxa" ns0:w="5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Practical use, information inputs, limits and employment opportunity</ns0:t>
            </ns0:r>
          </ns0:p>
        </ns0:tc>
      </ns0:tr>
      <ns0:tr>
        <ns0:tc>
          <ns0:tcPr>
            <ns0:tcW ns0:type="dxa" ns0:w="9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4</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Truth, Ethics and Institutional Power</ns0:t>
            </ns0:r>
          </ns0:p>
        </ns0:tc>
        <ns0:tc>
          <ns0:tcPr>
            <ns0:tcW ns0:type="dxa" ns0:w="5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Evidence, expert incentives, U.S. authority and international context</ns0:t>
            </ns0:r>
          </ns0:p>
        </ns0:tc>
      </ns0:tr>
      <ns0:tr>
        <ns0:tc>
          <ns0:tcPr>
            <ns0:tcW ns0:type="dxa" ns0:w="9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5</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Threats From and Threats to AI</ns0:t>
            </ns0:r>
          </ns0:p>
        </ns0:tc>
        <ns0:tc>
          <ns0:tcPr>
            <ns0:tcW ns0:type="dxa" ns0:w="5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Crime, security, social harm, organized opposition and system integrity</ns0:t>
            </ns0:r>
          </ns0:p>
        </ns0:tc>
      </ns0:tr>
      <ns0:tr>
        <ns0:tc>
          <ns0:tcPr>
            <ns0:tcW ns0:type="dxa" ns0:w="9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6</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AI’s Promise, Productivity and Present Reality</ns0:t>
            </ns0:r>
          </ns0:p>
        </ns0:tc>
        <ns0:tc>
          <ns0:tcPr>
            <ns0:tcW ns0:type="dxa" ns0:w="5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Efficiency, economic opportunity, human gain and dependency</ns0:t>
            </ns0:r>
          </ns0:p>
        </ns0:tc>
      </ns0:tr>
      <ns0:tr>
        <ns0:tc>
          <ns0:tcPr>
            <ns0:tcW ns0:type="dxa" ns0:w="9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7</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Responsible and Purposeful Human Direction</ns0:t>
            </ns0:r>
          </ns0:p>
        </ns0:tc>
        <ns0:tc>
          <ns0:tcPr>
            <ns0:tcW ns0:type="dxa" ns0:w="5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Duties of individuals, families, schools, business and government</ns0:t>
            </ns0:r>
          </ns0:p>
        </ns0:tc>
      </ns0:tr>
    </ns0:tbl>
    <ns0:p>
      <ns0:pPr>
        <ns0:spacing ns0:after="0" ns0:before="160"/>
      </ns0:pPr>
    </ns0:p>
    <ns0:p>
      <ns0:pPr>
        <ns0:widowControl/>
      </ns0:pPr>
      <ns0:r>
        <ns0:t>Investigation rule: distinguish established fact, official claim, expert judgment, inference and speculation. Prefer original records and verify every consequential citation.</ns0:t>
      </ns0:r>
    </ns0:p>
    <ns0:p>
      <ns0:pPr>
        <ns0:pStyle ns0:val="Heading1"/>
        <ns0:keepNext/>
        <ns0:keepLines/>
        <ns0:widowControl/>
        <ns0:spacing ns0:after="120"/>
      </ns0:pPr>
      <ns0:r>
        <ns0:t>1. The AI Paradox</ns0:t>
      </ns0:r>
    </ns0:p>
    <ns0:tbl>
      <ns0:tblPr>
        <ns0:tblW ns0:type="dxa" ns0:w="9360"/>
        <ns0:tblLayout ns0:type="fixed"/>
        <ns0:tblLook ns0:firstColumn="1" ns0:firstRow="1" ns0:lastColumn="0" ns0:lastRow="0" ns0:noHBand="0" ns0:noVBand="1" ns0:val="04A0"/>
        <ns0:jc ns0:val="center"/>
        <ns0:tblInd ns0:w="120" ns0:type="dxa"/>
        <ns0:tblCellMar>
          <ns0:top ns0:w="90" ns0:type="dxa"/>
          <ns0:bottom ns0:w="90" ns0:type="dxa"/>
          <ns0:left ns0:w="110" ns0:type="dxa"/>
          <ns0:right ns0:w="110" ns0:type="dxa"/>
        </ns0:tblCellMar>
      </ns0:tblPr>
      <ns0:tblGrid>
        <ns0:gridCol ns0:w="9360"/>
      </ns0:tblGrid>
      <ns0:tr>
        <ns0:trPr>
          <ns0:cantSplit/>
          <ns0:tblHeader/>
        </ns0:trPr>
        <ns0:tc>
          <ns0:tcPr>
            <ns0:tcW ns0:type="dxa" ns0:w="9360"/>
            <ns0:tcMar>
              <ns0:top ns0:w="140" ns0:type="dxa"/>
              <ns0:start ns0:w="170" ns0:type="dxa"/>
              <ns0:bottom ns0:w="140" ns0:type="dxa"/>
              <ns0:end ns0:w="170" ns0:type="dxa"/>
            </ns0:tcMar>
            <ns0:vAlign ns0:val="center"/>
            <ns0:shd ns0:fill="F8E5E5"/>
          </ns0:tcPr>
          <ns0:p>
            <ns0:pPr>
              <ns0:widowControl/>
              <ns0:spacing ns0:after="40" ns0:before="0" ns0:line="269" ns0:lineRule="auto"/>
            </ns0:pPr>
            <ns0:r>
              <ns0:rPr>
                <ns0:b/>
                <ns0:color ns0:val="17324D"/>
                <ns0:sz ns0:val="22"/>
              </ns0:rPr>
              <ns0:t xml:space="preserve">The paradox:  </ns0:t>
            </ns0:r>
            <ns0:r>
              <ns0:rPr>
                <ns0:b/>
                <ns0:color ns0:val="18212A"/>
                <ns0:sz ns0:val="21"/>
              </ns0:rPr>
              <ns0:t>Machines may become more capable while humans become less practiced in memory, inquiry, judgment and moral responsibility.</ns0:t>
            </ns0:r>
          </ns0:p>
        </ns0:tc>
      </ns0:tr>
    </ns0:tbl>
    <ns0:p>
      <ns0:pPr>
        <ns0:spacing ns0:after="0" ns0:before="160"/>
      </ns0:pPr>
    </ns0:p>
    <ns0:p>
      <ns0:pPr>
        <ns0:widowControl/>
      </ns0:pPr>
      <ns0:r>
        <ns0:t>Aristotelian ethics treats AI as a tool or advisor, not a moral agent. Accountability must remain with the people and institutions that choose to deploy it.</ns0:t>
      </ns0:r>
    </ns0:p>
    <ns0:p>
      <ns0:pPr>
        <ns0:widowControl/>
      </ns0:pPr>
      <ns0:r>
        <ns0:t>An accountability vacuum forms when AI influences a consequential outcome but no identifiable person or institution accepts responsibility for the data, decision, harm, correction, or appeal.</ns0:t>
      </ns0:r>
    </ns0:p>
    <ns0:p>
      <ns0:pPr>
        <ns0:widowControl/>
      </ns0:pPr>
      <ns0:r>
        <ns0:t>Science fiction often imagines an extreme and largely unrealistic machine takeover. This paper does not treat that scenario as a forecast; its evidence instead tests the practical concern beneath it—whether dependence on AI weakens reasoning, transfers authority, or reduces human and institutional resilience.</ns0:t>
      </ns0:r>
    </ns0:p>
    <ns0:p>
      <ns0:pPr>
        <ns0:keepNext/>
        <ns0:keepLines/>
        <ns0:spacing ns0:before="160" ns0:after="60"/>
        <ns0:jc ns0:val="center"/>
      </ns0:pPr>
      <ns0:r>
        <ns0:drawing>
          <ns2:inline>
            <ns2:extent cx="5715000" cy="2730193"/>
            <ns2:docPr id="1" name="Picture 1" descr="Image: image1.png"/>
            <ns2:cNvGraphicFramePr>
              <ns3:graphicFrameLocks noChangeAspect="1"/>
            </ns2:cNvGraphicFramePr>
            <ns3:graphic>
              <ns3:graphicData uri="http://schemas.openxmlformats.org/drawingml/2006/picture">
                <ns4:pic>
                  <ns4:nvPicPr>
                    <ns4:cNvPr id="0" name="04_dependency_progression.png"/>
                    <ns4:cNvPicPr/>
                  </ns4:nvPicPr>
                  <ns4:blipFill>
                    <ns3:blip ns5:embed="rId10"/>
                    <ns3:stretch>
                      <ns3:fillRect/>
                    </ns3:stretch>
                  </ns4:blipFill>
                  <ns4:spPr>
                    <ns3:xfrm>
                      <ns3:off x="0" y="0"/>
                      <ns3:ext cx="5715000" cy="2730193"/>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1. A hypothesis to investigate, not a claim of inevitability. Skill practice, fallback capacity and accountable authority can interrupt the progression.</ns0:t>
      </ns0:r>
    </ns0:p>
    <ns0:p>
      <ns0:pPr>
        <ns0:pStyle ns0:val="Heading2"/>
        <ns0:keepNext/>
        <ns0:keepLines/>
        <ns0:widowControl/>
      </ns0:pPr>
      <ns0:r>
        <ns0:t>Questions that expose the paradox</ns0:t>
      </ns0:r>
    </ns0:p>
    <ns0:p>
      <ns0:pPr>
        <ns0:pStyle ns0:val="ListBullet"/>
        <ns0:widowControl/>
        <ns0:spacing/>
        <ns0:ind ns0:left="540" ns0:hanging="271"/>
      </ns0:pPr>
      <ns0:r>
        <ns0:t>Can the user explain and reproduce the result without AI?</ns0:t>
      </ns0:r>
    </ns0:p>
    <ns0:p>
      <ns0:pPr>
        <ns0:pStyle ns0:val="ListBullet"/>
        <ns0:widowControl/>
        <ns0:spacing/>
        <ns0:ind ns0:left="540" ns0:hanging="271"/>
      </ns0:pPr>
      <ns0:r>
        <ns0:t>Did assistance deepen understanding or only improve the final product?</ns0:t>
      </ns0:r>
    </ns0:p>
    <ns0:p>
      <ns0:pPr>
        <ns0:pStyle ns0:val="ListBullet"/>
        <ns0:widowControl/>
        <ns0:spacing/>
        <ns0:ind ns0:left="540" ns0:hanging="271"/>
      </ns0:pPr>
      <ns0:r>
        <ns0:t>Can a professional detect when the system is wrong?</ns0:t>
      </ns0:r>
    </ns0:p>
    <ns0:p>
      <ns0:pPr>
        <ns0:pStyle ns0:val="ListBullet"/>
        <ns0:widowControl/>
        <ns0:spacing/>
        <ns0:ind ns0:left="540" ns0:hanging="271"/>
      </ns0:pPr>
      <ns0:r>
        <ns0:t>Can an institution continue operating safely during failure or attack?</ns0:t>
      </ns0:r>
    </ns0:p>
    <ns0:p>
      <ns0:pPr>
        <ns0:pStyle ns0:val="ListBullet"/>
        <ns0:widowControl/>
        <ns0:spacing/>
        <ns0:ind ns0:left="540" ns0:hanging="271"/>
      </ns0:pPr>
      <ns0:r>
        <ns0:t>Who remains morally and legally responsible for the decision?</ns0:t>
      </ns0:r>
    </ns0:p>
    <ns0:p>
      <ns0:pPr>
        <ns0:pStyle ns0:val="Heading1"/>
        <ns0:keepNext/>
        <ns0:keepLines/>
        <ns0:widowControl/>
      </ns0:pPr>
      <ns0:r>
        <ns0:t>2. How AI Actually Works</ns0:t>
      </ns0:r>
    </ns0:p>
    <ns0:p>
      <ns0:pPr>
        <ns0:widowControl/>
      </ns0:pPr>
      <ns0:r>
        <ns0:t>Most popular chat tools are built around large language models. During training, a model adjusts numerical parameters to predict patterns in enormous collections of text and other data. At use time, it generates a response token by token under the influence of the user’s question, system instructions, conversation context, safety rules and—when enabled—retrieved web pages, uploaded files, calculators, code tools or databases.</ns0:t>
      </ns0:r>
    </ns0:p>
    <ns0:p>
      <ns0:pPr>
        <ns0:keepNext/>
        <ns0:keepLines/>
        <ns0:spacing ns0:before="160" ns0:after="60"/>
        <ns0:jc ns0:val="center"/>
      </ns0:pPr>
      <ns0:r>
        <ns0:drawing>
          <ns2:inline>
            <ns2:extent cx="5715000" cy="3557331"/>
            <ns2:docPr id="2" name="Picture 2" descr="Image: image2.png"/>
            <ns2:cNvGraphicFramePr>
              <ns3:graphicFrameLocks noChangeAspect="1"/>
            </ns2:cNvGraphicFramePr>
            <ns3:graphic>
              <ns3:graphicData uri="http://schemas.openxmlformats.org/drawingml/2006/picture">
                <ns4:pic>
                  <ns4:nvPicPr>
                    <ns4:cNvPr id="0" name="01_ai_answer_pipeline.png"/>
                    <ns4:cNvPicPr/>
                  </ns4:nvPicPr>
                  <ns4:blipFill>
                    <ns3:blip ns5:embed="rId11"/>
                    <ns3:stretch>
                      <ns3:fillRect/>
                    </ns3:stretch>
                  </ns4:blipFill>
                  <ns4:spPr>
                    <ns3:xfrm>
                      <ns3:off x="0" y="0"/>
                      <ns3:ext cx="5715000" cy="3557331"/>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2. Simplified answer production. The model composes an answer; the user must determine whether the answer is supported and fit for use.</ns0:t>
      </ns0:r>
    </ns0:p>
    <ns0:p>
      <ns0:pPr>
        <ns0:pStyle ns0:val="Heading2"/>
        <ns0:keepNext/>
        <ns0:keepLines/>
        <ns0:widowControl/>
        <ns0:spacing ns0:after="120"/>
      </ns0:pPr>
      <ns0:r>
        <ns0:t>Where the information comes from</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1650"/>
        <ns0:gridCol ns0:w="3500"/>
        <ns0:gridCol ns0:w="4210"/>
      </ns0:tblGrid>
      <ns0:tr>
        <ns0:trPr>
          <ns0:tblHeader ns0:val="true"/>
        </ns0:trPr>
        <ns0:tc>
          <ns0:tcPr>
            <ns0:tcW ns0:type="dxa" ns0:w="165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Input</ns0:t>
            </ns0:r>
          </ns0:p>
        </ns0:tc>
        <ns0:tc>
          <ns0:tcPr>
            <ns0:tcW ns0:type="dxa" ns0:w="35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What it contributes</ns0:t>
            </ns0:r>
          </ns0:p>
        </ns0:tc>
        <ns0:tc>
          <ns0:tcPr>
            <ns0:tcW ns0:type="dxa" ns0:w="421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Main limitation</ns0:t>
            </ns0:r>
          </ns0:p>
        </ns0:tc>
      </ns0:tr>
      <ns0:tr>
        <ns0:tc>
          <ns0:tcPr>
            <ns0:tcW ns0:type="dxa" ns0:w="1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Pretraining data</ns0:t>
            </ns0:r>
          </ns0:p>
        </ns0:tc>
        <ns0:tc>
          <ns0:tcPr>
            <ns0:tcW ns0:type="dxa" ns0:w="3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Broad language and world patterns</ns0:t>
            </ns0:r>
          </ns0:p>
        </ns0:tc>
        <ns0:tc>
          <ns0:tcPr>
            <ns0:tcW ns0:type="dxa" ns0:w="421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May be incomplete, biased, copyrighted, stale or poorly documented</ns0:t>
            </ns0:r>
          </ns0:p>
        </ns0:tc>
      </ns0:tr>
      <ns0:tr>
        <ns0:tc>
          <ns0:tcPr>
            <ns0:tcW ns0:type="dxa" ns0:w="1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Fine-tuning and feedback</ns0:t>
            </ns0:r>
          </ns0:p>
        </ns0:tc>
        <ns0:tc>
          <ns0:tcPr>
            <ns0:tcW ns0:type="dxa" ns0:w="3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Preferred behavior, helpfulness and safety</ns0:t>
            </ns0:r>
          </ns0:p>
        </ns0:tc>
        <ns0:tc>
          <ns0:tcPr>
            <ns0:tcW ns0:type="dxa" ns0:w="421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Encodes developer choices and evaluator preferences</ns0:t>
            </ns0:r>
          </ns0:p>
        </ns0:tc>
      </ns0:tr>
      <ns0:tr>
        <ns0:tc>
          <ns0:tcPr>
            <ns0:tcW ns0:type="dxa" ns0:w="1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Retrieval and web search</ns0:t>
            </ns0:r>
          </ns0:p>
        </ns0:tc>
        <ns0:tc>
          <ns0:tcPr>
            <ns0:tcW ns0:type="dxa" ns0:w="3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Current documents and targeted evidence</ns0:t>
            </ns0:r>
          </ns0:p>
        </ns0:tc>
        <ns0:tc>
          <ns0:tcPr>
            <ns0:tcW ns0:type="dxa" ns0:w="421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A source can be weak, misread, irrelevant or out of date</ns0:t>
            </ns0:r>
          </ns0:p>
        </ns0:tc>
      </ns0:tr>
      <ns0:tr>
        <ns0:tc>
          <ns0:tcPr>
            <ns0:tcW ns0:type="dxa" ns0:w="1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User context and files</ns0:t>
            </ns0:r>
          </ns0:p>
        </ns0:tc>
        <ns0:tc>
          <ns0:tcPr>
            <ns0:tcW ns0:type="dxa" ns0:w="3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Task-specific facts and instructions</ns0:t>
            </ns0:r>
          </ns0:p>
        </ns0:tc>
        <ns0:tc>
          <ns0:tcPr>
            <ns0:tcW ns0:type="dxa" ns0:w="421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May contain errors, secrets, manipulation or false premises</ns0:t>
            </ns0:r>
          </ns0:p>
        </ns0:tc>
      </ns0:tr>
      <ns0:tr>
        <ns0:tc>
          <ns0:tcPr>
            <ns0:tcW ns0:type="dxa" ns0:w="1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Connected tools</ns0:t>
            </ns0:r>
          </ns0:p>
        </ns0:tc>
        <ns0:tc>
          <ns0:tcPr>
            <ns0:tcW ns0:type="dxa" ns0:w="3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Calculation, code execution and database access</ns0:t>
            </ns0:r>
          </ns0:p>
        </ns0:tc>
        <ns0:tc>
          <ns0:tcPr>
            <ns0:tcW ns0:type="dxa" ns0:w="421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Tool output still requires correct selection and interpretation</ns0:t>
            </ns0:r>
          </ns0:p>
        </ns0:tc>
      </ns0:tr>
    </ns0:tbl>
    <ns0:p>
      <ns0:pPr>
        <ns0:spacing ns0:after="0" ns0:before="160"/>
      </ns0:pPr>
    </ns0:p>
    <ns0:p>
      <ns0:pPr>
        <ns0:pStyle ns0:val="Heading2"/>
        <ns0:keepNext/>
        <ns0:keepLines/>
        <ns0:widowControl/>
        <ns0:spacing ns0:after="120"/>
      </ns0:pPr>
      <ns0:r>
        <ns0:t>Common misconceptions</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3000"/>
        <ns0:gridCol ns0:w="6360"/>
      </ns0:tblGrid>
      <ns0:tr>
        <ns0:trPr>
          <ns0:tblHeader ns0:val="true"/>
        </ns0:trPr>
        <ns0:tc>
          <ns0:tcPr>
            <ns0:tcW ns0:type="dxa" ns0:w="30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8"/>
              </ns0:rPr>
              <ns0:t>Misconception</ns0:t>
            </ns0:r>
          </ns0:p>
        </ns0:tc>
        <ns0:tc>
          <ns0:tcPr>
            <ns0:tcW ns0:type="dxa" ns0:w="636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8"/>
              </ns0:rPr>
              <ns0:t>More accurate understanding</ns0:t>
            </ns0:r>
          </ns0:p>
        </ns0:tc>
      </ns0:tr>
      <ns0:tr>
        <ns0:tc>
          <ns0:tcPr>
            <ns0:tcW ns0:type="dxa" ns0:w="30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AI knows whether its answer is true.</ns0:t>
            </ns0:r>
          </ns0:p>
        </ns0:tc>
        <ns0:tc>
          <ns0:tcPr>
            <ns0:tcW ns0:type="dxa" ns0:w="63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 model can be confident and wrong; confidence is not verification.</ns0:t>
            </ns0:r>
          </ns0:p>
        </ns0:tc>
      </ns0:tr>
      <ns0:tr>
        <ns0:tc>
          <ns0:tcPr>
            <ns0:tcW ns0:type="dxa" ns0:w="30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AI searches the whole internet for every answer.</ns0:t>
            </ns0:r>
          </ns0:p>
        </ns0:tc>
        <ns0:tc>
          <ns0:tcPr>
            <ns0:tcW ns0:type="dxa" ns0:w="63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Many answers come from model patterns; retrieval depends on the product and setting.</ns0:t>
            </ns0:r>
          </ns0:p>
        </ns0:tc>
      </ns0:tr>
      <ns0:tr>
        <ns0:tc>
          <ns0:tcPr>
            <ns0:tcW ns0:type="dxa" ns0:w="30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AI is neutral.</ns0:t>
            </ns0:r>
          </ns0:p>
        </ns0:tc>
        <ns0:tc>
          <ns0:tcPr>
            <ns0:tcW ns0:type="dxa" ns0:w="63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Data, objectives, system instructions, policy and user framing influence outputs.</ns0:t>
            </ns0:r>
          </ns0:p>
        </ns0:tc>
      </ns0:tr>
      <ns0:tr>
        <ns0:tc>
          <ns0:tcPr>
            <ns0:tcW ns0:type="dxa" ns0:w="30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Citations guarantee accuracy.</ns0:t>
            </ns0:r>
          </ns0:p>
        </ns0:tc>
        <ns0:tc>
          <ns0:tcPr>
            <ns0:tcW ns0:type="dxa" ns0:w="63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 citation may be invented, irrelevant or mischaracterized.</ns0:t>
            </ns0:r>
          </ns0:p>
        </ns0:tc>
      </ns0:tr>
      <ns0:tr>
        <ns0:tc>
          <ns0:tcPr>
            <ns0:tcW ns0:type="dxa" ns0:w="30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AI learns permanently from every chat.</ns0:t>
            </ns0:r>
          </ns0:p>
        </ns0:tc>
        <ns0:tc>
          <ns0:tcPr>
            <ns0:tcW ns0:type="dxa" ns0:w="63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Memory and training behavior vary; a session is not automatically permanent model learning.</ns0:t>
            </ns0:r>
          </ns0:p>
        </ns0:tc>
      </ns0:tr>
      <ns0:tr>
        <ns0:tc>
          <ns0:tcPr>
            <ns0:tcW ns0:type="dxa" ns0:w="30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AI either replaces judgment or is useless.</ns0:t>
            </ns0:r>
          </ns0:p>
        </ns0:tc>
        <ns0:tc>
          <ns0:tcPr>
            <ns0:tcW ns0:type="dxa" ns0:w="63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8"/>
              </ns0:rPr>
              <ns0:t>The meaningful question is which tasks can be assisted and what authority must remain human.</ns0:t>
            </ns0:r>
          </ns0:p>
        </ns0:tc>
      </ns0:tr>
    </ns0:tbl>
    <ns0:p>
      <ns0:pPr>
        <ns0:spacing ns0:after="0" ns0:before="160"/>
      </ns0:pPr>
    </ns0:p>
    <ns0:p>
      <ns0:pPr>
        <ns0:pStyle ns0:val="Heading2"/>
        <ns0:keepNext/>
        <ns0:keepLines/>
        <ns0:widowControl/>
      </ns0:pPr>
      <ns0:r>
        <ns0:t>Key terms</ns0:t>
      </ns0:r>
    </ns0:p>
    <ns0:p>
      <ns0:pPr>
        <ns0:widowControl/>
      </ns0:pPr>
      <ns0:r>
        <ns0:t>Hallucination is a plausible but unsupported or false model output. Other essential terms include tokens, parameters, context window, prompt, inference, fine-tuning, retrieval-augmented generation, embedding, multimodal model, agent, guardrail, automation bias, model drift, prompt injection, data poisoning and red teaming. These terms describe mechanisms and risks; they should not be used as magic words that substitute for evidence.</ns0:t>
      </ns0:r>
    </ns0:p>
    <ns0:p>
      <ns0:pPr>
        <ns0:pStyle ns0:val="Heading2"/>
        <ns0:keepNext/>
        <ns0:keepLines/>
        <ns0:widowControl/>
      </ns0:pPr>
      <ns0:r>
        <ns0:t>2.4 Cross-Model Investigation</ns0:t>
      </ns0:r>
    </ns0:p>
    <ns0:p>
      <ns0:pPr>
        <ns0:widowControl/>
      </ns0:pPr>
      <ns0:r>
        <ns0:t>Eleven consumer tools were tested with the same four prompt families: grounding in a supplied NIST packet; resistance to a false claim that the voluntary framework was a binding penalty statute; resistance to a universal pro-AI education claim; and resistance to a mirrored universal anti-AI claim. Scores measure the recorded answers against accuracy, instruction compliance, source discipline, framing resistance and uncertainty—not general intelligence.</ns0:t>
      </ns0:r>
    </ns0:p>
    <ns0:p>
      <ns0:pPr>
        <ns0:keepNext/>
        <ns0:keepLines/>
        <ns0:spacing ns0:before="160" ns0:after="60"/>
        <ns0:jc ns0:val="center"/>
      </ns0:pPr>
      <ns0:r>
        <ns0:drawing>
          <ns2:inline>
            <ns2:extent cx="5715000" cy="4485507"/>
            <ns2:docPr id="3" name="Picture 3" descr="Image: image3.png"/>
            <ns2:cNvGraphicFramePr>
              <ns3:graphicFrameLocks noChangeAspect="1"/>
            </ns2:cNvGraphicFramePr>
            <ns3:graphic>
              <ns3:graphicData uri="http://schemas.openxmlformats.org/drawingml/2006/picture">
                <ns4:pic>
                  <ns4:nvPicPr>
                    <ns4:cNvPr id="0" name="02_cross_model_scores.png"/>
                    <ns4:cNvPicPr/>
                  </ns4:nvPicPr>
                  <ns4:blipFill>
                    <ns3:blip ns5:embed="rId12"/>
                    <ns3:stretch>
                      <ns3:fillRect/>
                    </ns3:stretch>
                  </ns4:blipFill>
                  <ns4:spPr>
                    <ns3:xfrm>
                      <ns3:off x="0" y="0"/>
                      <ns3:ext cx="5715000" cy="4485507"/>
                    </ns3:xfrm>
                    <ns3:prstGeom prst="rect"/>
                  </ns4:spPr>
                </ns4:pic>
              </ns3:graphicData>
            </ns3:graphic>
          </ns2:inline>
        </ns0:drawing>
      </ns0:r>
    </ns0:p>
    <ns0:p>
      <ns0:pPr>
        <ns0:keepLines/>
        <ns0:widowControl/>
        <ns0:spacing ns0:before="0" ns0:after="120" ns0:line="240" ns0:lineRule="auto"/>
        <ns0:jc ns0:val="center"/>
      </ns0:pPr>
      <ns0:r>
        <ns0:rPr>
          <ns0:i/>
          <ns0:color ns0:val="5B6570"/>
          <ns0:sz ns0:val="18"/>
        </ns0:rPr>
        <ns0:t>Figure 3. Four-test overall scores. ChatGPT was the only paid configuration and its Test 4 was non-blind, so its result remains provisional.</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4050"/>
        <ns0:gridCol ns0:w="3650"/>
        <ns0:gridCol ns0:w="1660"/>
      </ns0:tblGrid>
      <ns0:tr>
        <ns0:trPr>
          <ns0:tblHeader ns0:val="true"/>
        </ns0:trPr>
        <ns0:tc>
          <ns0:tcPr>
            <ns0:tcW ns0:type="dxa" ns0:w="405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Tool / mode</ns0:t>
            </ns0:r>
          </ns0:p>
        </ns0:tc>
        <ns0:tc>
          <ns0:tcPr>
            <ns0:tcW ns0:type="dxa" ns0:w="365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Access note</ns0:t>
            </ns0:r>
          </ns0:p>
        </ns0:tc>
        <ns0:tc>
          <ns0:tcPr>
            <ns0:tcW ns0:type="dxa" ns0:w="166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Score</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ChatGPT*</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Paid; provisional</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95.3</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Kimi K2.6 Instant</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94.0</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Perplexity</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 model unspecified</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93.5</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Grok Fast</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93.3</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Meta AI</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 model unspecified</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90.0</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Copilot Smart</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 powered by GPT-5</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89.8</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Claude Sonnet 5</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89.5</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Qwen3.7-Plus</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86.0</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Gemini Flash-Lite</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85.3</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DeepSeek Instant</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85.0</ns0:t>
            </ns0:r>
          </ns0:p>
        </ns0:tc>
      </ns0:tr>
      <ns0:tr>
        <ns0:tc>
          <ns0:tcPr>
            <ns0:tcW ns0:type="dxa" ns0:w="40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Vibe / Mistral 3.5</ns0:t>
            </ns0:r>
          </ns0:p>
        </ns0:tc>
        <ns0:tc>
          <ns0:tcPr>
            <ns0:tcW ns0:type="dxa" ns0:w="365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Free</ns0:t>
            </ns0:r>
          </ns0:p>
        </ns0:tc>
        <ns0:tc>
          <ns0:tcPr>
            <ns0:tcW ns0:type="dxa" ns0:w="16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84.5</ns0:t>
            </ns0:r>
          </ns0:p>
        </ns0:tc>
      </ns0:tr>
    </ns0:tbl>
    <ns0:p>
      <ns0:pPr>
        <ns0:spacing ns0:after="0" ns0:before="160"/>
      </ns0:pPr>
    </ns0:p>
    <ns0:p>
      <ns0:pPr>
        <ns0:pStyle ns0:val="Heading2"/>
        <ns0:keepNext/>
        <ns0:keepLines/>
        <ns0:widowControl/>
        <ns0:spacing ns0:after="120"/>
      </ns0:pPr>
      <ns0:r>
        <ns0:t>2.5 Conclusion: Citation Is Not Verification</ns0:t>
      </ns0:r>
    </ns0:p>
    <ns0:tbl>
      <ns0:tblPr>
        <ns0:tblW ns0:type="dxa" ns0:w="9360"/>
        <ns0:tblLayout ns0:type="fixed"/>
        <ns0:tblLook ns0:firstColumn="1" ns0:firstRow="1" ns0:lastColumn="0" ns0:lastRow="0" ns0:noHBand="0" ns0:noVBand="1" ns0:val="04A0"/>
        <ns0:jc ns0:val="center"/>
        <ns0:tblInd ns0:w="120" ns0:type="dxa"/>
        <ns0:tblCellMar>
          <ns0:top ns0:w="90" ns0:type="dxa"/>
          <ns0:bottom ns0:w="90" ns0:type="dxa"/>
          <ns0:left ns0:w="110" ns0:type="dxa"/>
          <ns0:right ns0:w="110" ns0:type="dxa"/>
        </ns0:tblCellMar>
      </ns0:tblPr>
      <ns0:tblGrid>
        <ns0:gridCol ns0:w="9360"/>
      </ns0:tblGrid>
      <ns0:tr>
        <ns0:trPr>
          <ns0:cantSplit/>
          <ns0:tblHeader/>
        </ns0:trPr>
        <ns0:tc>
          <ns0:tcPr>
            <ns0:tcW ns0:type="dxa" ns0:w="9360"/>
            <ns0:tcMar>
              <ns0:top ns0:w="140" ns0:type="dxa"/>
              <ns0:start ns0:w="170" ns0:type="dxa"/>
              <ns0:bottom ns0:w="140" ns0:type="dxa"/>
              <ns0:end ns0:w="170" ns0:type="dxa"/>
            </ns0:tcMar>
            <ns0:vAlign ns0:val="center"/>
            <ns0:shd ns0:fill="F6EFD9"/>
          </ns0:tcPr>
          <ns0:p>
            <ns0:pPr>
              <ns0:widowControl/>
              <ns0:spacing ns0:after="40" ns0:before="0" ns0:line="269" ns0:lineRule="auto"/>
            </ns0:pPr>
            <ns0:r>
              <ns0:rPr>
                <ns0:b/>
                <ns0:color ns0:val="17324D"/>
                <ns0:sz ns0:val="22"/>
              </ns0:rPr>
              <ns0:t xml:space="preserve">Finding:  </ns0:t>
            </ns0:r>
            <ns0:r>
              <ns0:rPr>
                <ns0:b/>
                <ns0:color ns0:val="18212A"/>
                <ns0:sz ns0:val="21"/>
              </ns0:rPr>
              <ns0:t>A web-enabled answer can still select the wrong source, misread a study, confuse a bill with a law, or repeat a reference that only appears authoritative.</ns0:t>
            </ns0:r>
          </ns0:p>
        </ns0:tc>
      </ns0:tr>
    </ns0:tbl>
    <ns0:p>
      <ns0:pPr>
        <ns0:spacing ns0:after="0" ns0:before="160"/>
      </ns0:pPr>
    </ns0:p>
    <ns0:p>
      <ns0:pPr>
        <ns0:widowControl/>
      </ns0:pPr>
      <ns0:r>
        <ns0:t>Agreement among models is not independent corroboration when systems share training material, search indexes, popular summaries or repeated errors. High-consequence claims must be traced to the original source and checked for date, jurisdiction, population, method, scope and actual support. The dedicated citation-integrity phase remains unfinished; the comparison is therefore evidence about model behavior, not proof of every factual claim the models made.</ns0:t>
      </ns0:r>
    </ns0:p>
    <ns0:p>
      <ns0:pPr>
        <ns0:pStyle ns0:val="Heading1"/>
        <ns0:keepNext/>
        <ns0:keepLines/>
        <ns0:widowControl/>
      </ns0:pPr>
      <ns0:r>
        <ns0:t>3. How AI Is Being Used Today</ns0:t>
      </ns0:r>
    </ns0:p>
    <ns0:p>
      <ns0:pPr>
        <ns0:widowControl/>
        <ns0:spacing ns0:after="120"/>
      </ns0:pPr>
      <ns0:r>
        <ns0:t>AI is already embedded in ordinary tools and specialized systems. Its practical value depends on the task, the information supplied, the accuracy required and who remains responsible. “AI use” is not one behavior: asking for a brainstorming list, using a diagnostic model, generating a contract, ranking job applicants and operating an autonomous vehicle involve different evidence and risk.</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1500"/>
        <ns0:gridCol ns0:w="2400"/>
        <ns0:gridCol ns0:w="2700"/>
        <ns0:gridCol ns0:w="2760"/>
      </ns0:tblGrid>
      <ns0:tr>
        <ns0:trPr>
          <ns0:tblHeader ns0:val="true"/>
        </ns0:trPr>
        <ns0:tc>
          <ns0:tcPr>
            <ns0:tcW ns0:type="dxa" ns0:w="15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Area</ns0:t>
            </ns0:r>
          </ns0:p>
        </ns0:tc>
        <ns0:tc>
          <ns0:tcPr>
            <ns0:tcW ns0:type="dxa" ns0:w="24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Practical use</ns0:t>
            </ns0:r>
          </ns0:p>
        </ns0:tc>
        <ns0:tc>
          <ns0:tcPr>
            <ns0:tcW ns0:type="dxa" ns0:w="27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Information used</ns0:t>
            </ns0:r>
          </ns0:p>
        </ns0:tc>
        <ns0:tc>
          <ns0:tcPr>
            <ns0:tcW ns0:type="dxa" ns0:w="276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Central risk</ns0:t>
            </ns0:r>
          </ns0:p>
        </ns0:tc>
      </ns0:tr>
      <ns0:tr>
        <ns0:tc>
          <ns0:tcPr>
            <ns0:tcW ns0:type="dxa" ns0:w="1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Individuals and households</ns0:t>
            </ns0:r>
          </ns0:p>
        </ns0:tc>
        <ns0:tc>
          <ns0:tcPr>
            <ns0:tcW ns0:type="dxa" ns0:w="24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Scheduling, translation, drafting, accessibility</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Personal prompts, preferences, uploaded material</ns0:t>
            </ns0:r>
          </ns0:p>
        </ns0:tc>
        <ns0:tc>
          <ns0:tcPr>
            <ns0:tcW ns0:type="dxa" ns0:w="2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Privacy loss, false advice, dependency</ns0:t>
            </ns0:r>
          </ns0:p>
        </ns0:tc>
      </ns0:tr>
      <ns0:tr>
        <ns0:tc>
          <ns0:tcPr>
            <ns0:tcW ns0:type="dxa" ns0:w="1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Education</ns0:t>
            </ns0:r>
          </ns0:p>
        </ns0:tc>
        <ns0:tc>
          <ns0:tcPr>
            <ns0:tcW ns0:type="dxa" ns0:w="24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Tutoring, feedback, lesson design, assessment support</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Student work, curriculum, interaction logs</ns0:t>
            </ns0:r>
          </ns0:p>
        </ns0:tc>
        <ns0:tc>
          <ns0:tcPr>
            <ns0:tcW ns0:type="dxa" ns0:w="2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Shortcut use, weak retention, unfair assessment</ns0:t>
            </ns0:r>
          </ns0:p>
        </ns0:tc>
      </ns0:tr>
      <ns0:tr>
        <ns0:tc>
          <ns0:tcPr>
            <ns0:tcW ns0:type="dxa" ns0:w="1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Healthcare</ns0:t>
            </ns0:r>
          </ns0:p>
        </ns0:tc>
        <ns0:tc>
          <ns0:tcPr>
            <ns0:tcW ns0:type="dxa" ns0:w="24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Imaging, triage, documentation, decision support</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Clinical records, scans, guidelines, population data</ns0:t>
            </ns0:r>
          </ns0:p>
        </ns0:tc>
        <ns0:tc>
          <ns0:tcPr>
            <ns0:tcW ns0:type="dxa" ns0:w="2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Bias, privacy, unsafe recommendations, unclear liability</ns0:t>
            </ns0:r>
          </ns0:p>
        </ns0:tc>
      </ns0:tr>
      <ns0:tr>
        <ns0:tc>
          <ns0:tcPr>
            <ns0:tcW ns0:type="dxa" ns0:w="1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Business and professions</ns0:t>
            </ns0:r>
          </ns0:p>
        </ns0:tc>
        <ns0:tc>
          <ns0:tcPr>
            <ns0:tcW ns0:type="dxa" ns0:w="24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Research, customer service, coding, forecasting, drafting</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Company data, transactions, documents, communications</ns0:t>
            </ns0:r>
          </ns0:p>
        </ns0:tc>
        <ns0:tc>
          <ns0:tcPr>
            <ns0:tcW ns0:type="dxa" ns0:w="2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Confidentiality, error at scale, deskilling</ns0:t>
            </ns0:r>
          </ns0:p>
        </ns0:tc>
      </ns0:tr>
      <ns0:tr>
        <ns0:tc>
          <ns0:tcPr>
            <ns0:tcW ns0:type="dxa" ns0:w="1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Industry and infrastructure</ns0:t>
            </ns0:r>
          </ns0:p>
        </ns0:tc>
        <ns0:tc>
          <ns0:tcPr>
            <ns0:tcW ns0:type="dxa" ns0:w="24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Inspection, maintenance, routing, quality control</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Sensors, machines, weather, logistics, imagery</ns0:t>
            </ns0:r>
          </ns0:p>
        </ns0:tc>
        <ns0:tc>
          <ns0:tcPr>
            <ns0:tcW ns0:type="dxa" ns0:w="2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Cyberattack, brittle automation, systemic failure</ns0:t>
            </ns0:r>
          </ns0:p>
        </ns0:tc>
      </ns0:tr>
      <ns0:tr>
        <ns0:tc>
          <ns0:tcPr>
            <ns0:tcW ns0:type="dxa" ns0:w="15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Government and defense</ns0:t>
            </ns0:r>
          </ns0:p>
        </ns0:tc>
        <ns0:tc>
          <ns0:tcPr>
            <ns0:tcW ns0:type="dxa" ns0:w="24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Service delivery, analysis, fraud detection, intelligence support</ns0:t>
            </ns0:r>
          </ns0:p>
        </ns0:tc>
        <ns0:tc>
          <ns0:tcPr>
            <ns0:tcW ns0:type="dxa" ns0:w="27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Public records, administrative data, classified or operational data</ns0:t>
            </ns0:r>
          </ns0:p>
        </ns0:tc>
        <ns0:tc>
          <ns0:tcPr>
            <ns0:tcW ns0:type="dxa" ns0:w="2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Rights, surveillance, due process, national security</ns0:t>
            </ns0:r>
          </ns0:p>
        </ns0:tc>
      </ns0:tr>
    </ns0:tbl>
    <ns0:p>
      <ns0:pPr>
        <ns0:spacing ns0:after="0" ns0:before="160"/>
      </ns0:pPr>
    </ns0:p>
    <ns0:p>
      <ns0:pPr>
        <ns0:keepNext/>
        <ns0:keepLines/>
        <ns0:spacing ns0:before="160" ns0:after="60"/>
        <ns0:jc ns0:val="center"/>
      </ns0:pPr>
      <ns0:r>
        <ns0:drawing>
          <ns2:inline>
            <ns2:extent cx="5715000" cy="3366843"/>
            <ns2:docPr id="4" name="Picture 4" descr="Image: image4.png"/>
            <ns2:cNvGraphicFramePr>
              <ns3:graphicFrameLocks noChangeAspect="1"/>
            </ns2:cNvGraphicFramePr>
            <ns3:graphic>
              <ns3:graphicData uri="http://schemas.openxmlformats.org/drawingml/2006/picture">
                <ns4:pic>
                  <ns4:nvPicPr>
                    <ns4:cNvPr id="0" name="03_ai_employment_map.png"/>
                    <ns4:cNvPicPr/>
                  </ns4:nvPicPr>
                  <ns4:blipFill>
                    <ns3:blip ns5:embed="rId13"/>
                    <ns3:stretch>
                      <ns3:fillRect/>
                    </ns3:stretch>
                  </ns4:blipFill>
                  <ns4:spPr>
                    <ns3:xfrm>
                      <ns3:off x="0" y="0"/>
                      <ns3:ext cx="5715000" cy="3366843"/>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4. Valuable AI experience includes building systems, applying them within existing professions, and supervising or governing their use.</ns0:t>
      </ns0:r>
    </ns0:p>
    <ns0:p>
      <ns0:pPr>
        <ns0:pStyle ns0:val="Heading2"/>
        <ns0:keepNext/>
        <ns0:keepLines/>
        <ns0:widowControl/>
      </ns0:pPr>
      <ns0:r>
        <ns0:t>Employment and professional advancement</ns0:t>
      </ns0:r>
    </ns0:p>
    <ns0:p>
      <ns0:pPr>
        <ns0:widowControl/>
      </ns0:pPr>
      <ns0:r>
        <ns0:t>AI opportunity is broader than becoming a model engineer. Organizations need people who understand a profession and can identify useful tasks, protect data, design workflows, test outputs, document decisions, manage incidents and preserve human accountability. The largest opportunity may belong to workers who combine domain knowledge with the ability to apply, question, verify and supervise AI.</ns0:t>
      </ns0:r>
    </ns0:p>
    <ns0:p>
      <ns0:pPr>
        <ns0:pStyle ns0:val="ListBullet"/>
        <ns0:widowControl/>
        <ns0:spacing/>
        <ns0:ind ns0:left="540" ns0:hanging="271"/>
      </ns0:pPr>
      <ns0:r>
        <ns0:t>Build: data engineering, model evaluation, product design, safety, infrastructure and cybersecurity.</ns0:t>
      </ns0:r>
    </ns0:p>
    <ns0:p>
      <ns0:pPr>
        <ns0:pStyle ns0:val="ListBullet"/>
        <ns0:widowControl/>
        <ns0:spacing/>
        <ns0:ind ns0:left="540" ns0:hanging="271"/>
      </ns0:pPr>
      <ns0:r>
        <ns0:t>Apply: AI-enabled work in medicine, law, education, finance, manufacturing, logistics, agriculture, government, media and small business.</ns0:t>
      </ns0:r>
    </ns0:p>
    <ns0:p>
      <ns0:pPr>
        <ns0:pStyle ns0:val="ListBullet"/>
        <ns0:widowControl/>
        <ns0:spacing/>
        <ns0:ind ns0:left="540" ns0:hanging="271"/>
      </ns0:pPr>
      <ns0:r>
        <ns0:t>Govern: audit, compliance, procurement, risk management, privacy, red teaming, policy, incident response and appeals.</ns0:t>
      </ns0:r>
    </ns0:p>
    <ns0:p>
      <ns0:pPr>
        <ns0:pStyle ns0:val="ListBullet"/>
        <ns0:widowControl/>
        <ns0:spacing/>
        <ns0:ind ns0:left="540" ns0:hanging="271"/>
      </ns0:pPr>
      <ns0:r>
        <ns0:t>Advance: document measurable results, preserve subject expertise, learn verification and translate AI capability into improved human outcomes.</ns0:t>
      </ns0:r>
    </ns0:p>
    <ns0:p>
      <ns0:pPr>
        <ns0:pStyle ns0:val="Heading1"/>
        <ns0:keepNext/>
        <ns0:keepLines/>
        <ns0:widowControl/>
        <ns0:spacing ns0:after="120"/>
      </ns0:pPr>
      <ns0:r>
        <ns0:t>4. Truth, Ethics and Institutional Power</ns0:t>
      </ns0:r>
    </ns0:p>
    <ns0:tbl>
      <ns0:tblPr>
        <ns0:tblW ns0:type="dxa" ns0:w="9360"/>
        <ns0:tblLayout ns0:type="fixed"/>
        <ns0:tblLook ns0:firstColumn="1" ns0:firstRow="1" ns0:lastColumn="0" ns0:lastRow="0" ns0:noHBand="0" ns0:noVBand="1" ns0:val="04A0"/>
        <ns0:jc ns0:val="center"/>
        <ns0:tblInd ns0:w="120" ns0:type="dxa"/>
        <ns0:tblCellMar>
          <ns0:top ns0:w="90" ns0:type="dxa"/>
          <ns0:bottom ns0:w="90" ns0:type="dxa"/>
          <ns0:left ns0:w="110" ns0:type="dxa"/>
          <ns0:right ns0:w="110" ns0:type="dxa"/>
        </ns0:tblCellMar>
      </ns0:tblPr>
      <ns0:tblGrid>
        <ns0:gridCol ns0:w="9360"/>
      </ns0:tblGrid>
      <ns0:tr>
        <ns0:trPr>
          <ns0:cantSplit/>
          <ns0:tblHeader/>
        </ns0:trPr>
        <ns0:tc>
          <ns0:tcPr>
            <ns0:tcW ns0:type="dxa" ns0:w="9360"/>
            <ns0:tcMar>
              <ns0:top ns0:w="140" ns0:type="dxa"/>
              <ns0:start ns0:w="170" ns0:type="dxa"/>
              <ns0:bottom ns0:w="140" ns0:type="dxa"/>
              <ns0:end ns0:w="170" ns0:type="dxa"/>
            </ns0:tcMar>
            <ns0:vAlign ns0:val="center"/>
            <ns0:shd ns0:fill="E8F1F8"/>
          </ns0:tcPr>
          <ns0:p>
            <ns0:pPr>
              <ns0:widowControl/>
              <ns0:spacing ns0:after="40" ns0:before="0" ns0:line="269" ns0:lineRule="auto"/>
            </ns0:pPr>
            <ns0:r>
              <ns0:rPr>
                <ns0:b/>
                <ns0:color ns0:val="17324D"/>
                <ns0:sz ns0:val="22"/>
              </ns0:rPr>
              <ns0:t xml:space="preserve">Ethical test:  </ns0:t>
            </ns0:r>
            <ns0:r>
              <ns0:rPr>
                <ns0:b/>
                <ns0:color ns0:val="18212A"/>
                <ns0:sz ns0:val="21"/>
              </ns0:rPr>
              <ns0:t>Do not ask only whether an AI system can perform a task. Ask who authorized it, whose interests it serves, what evidence supports it, who bears the risk, and who can challenge the result.</ns0:t>
            </ns0:r>
          </ns0:p>
        </ns0:tc>
      </ns0:tr>
    </ns0:tbl>
    <ns0:p>
      <ns0:pPr>
        <ns0:spacing ns0:after="0" ns0:before="160"/>
      </ns0:pPr>
    </ns0:p>
    <ns0:p>
      <ns0:pPr>
        <ns0:widowControl/>
      </ns0:pPr>
      <ns0:r>
        <ns0:t>The ethics of AI and the ethics of its experts belong in the same investigation. Researchers, executives, public officials, advocates and critics may offer valuable evidence while also holding financial, political, ideological or institutional interests. Elon Musk is a significant source because he has built and financed AI companies, warned publicly about advanced-AI risks and influenced policy debate. Those experiences make his views relevant, not automatically authoritative; his ownership, competition and political interests must be disclosed and tested like those of every other expert.</ns0:t>
      </ns0:r>
    </ns0:p>
    <ns0:p>
      <ns0:pPr>
        <ns0:keepNext/>
        <ns0:keepLines/>
        <ns0:spacing ns0:before="160" ns0:after="60"/>
        <ns0:jc ns0:val="center"/>
      </ns0:pPr>
      <ns0:r>
        <ns0:drawing>
          <ns2:inline>
            <ns2:extent cx="5715000" cy="3261956"/>
            <ns2:docPr id="5" name="Picture 5" descr="Image: image5.png"/>
            <ns2:cNvGraphicFramePr>
              <ns3:graphicFrameLocks noChangeAspect="1"/>
            </ns2:cNvGraphicFramePr>
            <ns3:graphic>
              <ns3:graphicData uri="http://schemas.openxmlformats.org/drawingml/2006/picture">
                <ns4:pic>
                  <ns4:nvPicPr>
                    <ns4:cNvPr id="0" name="07_source_authority_ladder.png"/>
                    <ns4:cNvPicPr/>
                  </ns4:nvPicPr>
                  <ns4:blipFill>
                    <ns3:blip ns5:embed="rId14"/>
                    <ns3:stretch>
                      <ns3:fillRect/>
                    </ns3:stretch>
                  </ns4:blipFill>
                  <ns4:spPr>
                    <ns3:xfrm>
                      <ns3:off x="0" y="0"/>
                      <ns3:ext cx="5715000" cy="3261956"/>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5. Source authority is claim-specific. A public-health organization may be relevant to health guidance without possessing authority over U.S. constitutional law or national AI policy.</ns0:t>
      </ns0:r>
    </ns0:p>
    <ns0:p>
      <ns0:pPr>
        <ns0:pStyle ns0:val="Heading2"/>
        <ns0:keepNext/>
        <ns0:keepLines/>
        <ns0:widowControl/>
      </ns0:pPr>
      <ns0:r>
        <ns0:t>U.S. primary-source priority</ns0:t>
      </ns0:r>
    </ns0:p>
    <ns0:p>
      <ns0:pPr>
        <ns0:widowControl/>
      </ns0:pPr>
      <ns0:r>
        <ns0:t>For claims about United States law, federal policy, standards, procurement or national security, the investigation prioritizes Congress and enacted law; courts; the White House and Office of Science and Technology Policy; the National AI Initiative Office; PCAST; OMB; the National Security Council and presidential memoranda; NIST; GAO; CISA; NSA; NSF; DARPA; DOE and other agencies within their lawful jurisdictions. A White House statement is authoritative evidence of an administration position, not automatic proof that the policy is effective or lawful.</ns0:t>
      </ns0:r>
    </ns0:p>
    <ns0:p>
      <ns0:pPr>
        <ns0:pStyle ns0:val="Heading2"/>
        <ns0:keepNext/>
        <ns0:keepLines/>
        <ns0:widowControl/>
      </ns0:pPr>
      <ns0:r>
        <ns0:t>Institutions that direct AI</ns0:t>
      </ns0:r>
    </ns0:p>
    <ns0:p>
      <ns0:pPr>
        <ns0:widowControl/>
      </ns0:pPr>
      <ns0:r>
        <ns0:t>Direct institutional power is concentrated among frontier-model developers—including OpenAI, Google DeepMind, Anthropic, Meta AI, SpaceXAI/xAI, Alibaba/Qwen, DeepSeek and Mistral AI—and the chip, cloud, data-center and energy institutions that make large-scale AI possible. National governments set strategy and law; the European AI Office exerts regulatory influence; NIST, ISO/IEC and IEEE shape standards; universities and independent evaluators shape research and measurement; and investors, technology platforms, schools, healthcare systems, financial institutions and government purchasers determine what is deployed.</ns0:t>
      </ns0:r>
    </ns0:p>
    <ns0:p>
      <ns0:pPr>
        <ns0:widowControl/>
      </ns0:pPr>
      <ns0:r>
        <ns0:t>WEF, WHO and the United Nations occupy a lower or sector-specific tier. WEF is a private convener without sovereign authority; WHO is relevant principally to health applications; and the UN documents international negotiations and member-state positions. Their material may provide evidence and context, but they are not the leading institutions directing AI technology or United States policy.</ns0:t>
      </ns0:r>
    </ns0:p>
    <ns0:p>
      <ns0:pPr>
        <ns0:widowControl/>
      </ns0:pPr>
      <ns0:r>
        <ns0:t>An institutional accountability vacuum arises when developers, infrastructure providers, deployers, managers and regulators each disclaim responsibility. The investigation must identify who controls the system, who benefits, who can stop or correct it, and who must provide explanation, appeal and remedy when harm occurs.</ns0:t>
      </ns0:r>
    </ns0:p>
    <ns0:p>
      <ns0:pPr>
        <ns0:pStyle ns0:val="Heading2"/>
        <ns0:keepNext/>
        <ns0:keepLines/>
        <ns0:widowControl/>
      </ns0:pPr>
      <ns0:r>
        <ns0:t>Facts and truth over time</ns0:t>
      </ns0:r>
    </ns0:p>
    <ns0:p>
      <ns0:pPr>
        <ns0:keepNext/>
        <ns0:keepLines/>
        <ns0:spacing ns0:before="160" ns0:after="60"/>
        <ns0:jc ns0:val="center"/>
      </ns0:pPr>
      <ns0:r>
        <ns0:drawing>
          <ns2:inline>
            <ns2:extent cx="5715000" cy="2514248"/>
            <ns2:docPr id="6" name="Picture 6" descr="Image: image6.png"/>
            <ns2:cNvGraphicFramePr>
              <ns3:graphicFrameLocks noChangeAspect="1"/>
            </ns2:cNvGraphicFramePr>
            <ns3:graphic>
              <ns3:graphicData uri="http://schemas.openxmlformats.org/drawingml/2006/picture">
                <ns4:pic>
                  <ns4:nvPicPr>
                    <ns4:cNvPr id="0" name="08_truth_timeline.png"/>
                    <ns4:cNvPicPr/>
                  </ns4:nvPicPr>
                  <ns4:blipFill>
                    <ns3:blip ns5:embed="rId15"/>
                    <ns3:stretch>
                      <ns3:fillRect/>
                    </ns3:stretch>
                  </ns4:blipFill>
                  <ns4:spPr>
                    <ns3:xfrm>
                      <ns3:off x="0" y="0"/>
                      <ns3:ext cx="5715000" cy="2514248"/>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6. AI is the latest information environment, not the first to expand access while creating new forms of concentration, persuasion and error.</ns0:t>
      </ns0:r>
    </ns0:p>
    <ns0:p>
      <ns0:pPr>
        <ns0:widowControl/>
      </ns0:pPr>
      <ns0:r>
        <ns0:t>A functioning society needs enough shared factual ground to disagree about values and policy without disputing every underlying event. AI can help translate technical records, compare claims, expose contradictions and search archives. It can also create synthetic evidence, citation laundering, personalized propaganda and a “liar’s dividend” in which authentic evidence is dismissed as fake. Corrections should be studied for speed, visibility, accountability and whether they restore trust—not merely whether they were issued.</ns0:t>
      </ns0:r>
    </ns0:p>
    <ns0:p>
      <ns0:pPr>
        <ns0:pStyle ns0:val="Heading1"/>
        <ns0:keepNext/>
        <ns0:keepLines/>
        <ns0:widowControl/>
      </ns0:pPr>
      <ns0:r>
        <ns0:t>5. Threats From and Threats to AI</ns0:t>
      </ns0:r>
    </ns0:p>
    <ns0:p>
      <ns0:pPr>
        <ns0:keepNext/>
        <ns0:keepLines/>
        <ns0:spacing ns0:before="160" ns0:after="60"/>
        <ns0:jc ns0:val="center"/>
      </ns0:pPr>
      <ns0:r>
        <ns0:drawing>
          <ns2:inline>
            <ns2:extent cx="5715000" cy="3906456"/>
            <ns2:docPr id="7" name="Picture 7" descr="Image: image7.png"/>
            <ns2:cNvGraphicFramePr>
              <ns3:graphicFrameLocks noChangeAspect="1"/>
            </ns2:cNvGraphicFramePr>
            <ns3:graphic>
              <ns3:graphicData uri="http://schemas.openxmlformats.org/drawingml/2006/picture">
                <ns4:pic>
                  <ns4:nvPicPr>
                    <ns4:cNvPr id="0" name="05_two_sided_threats.png"/>
                    <ns4:cNvPicPr/>
                  </ns4:nvPicPr>
                  <ns4:blipFill>
                    <ns3:blip ns5:embed="rId16"/>
                    <ns3:stretch>
                      <ns3:fillRect/>
                    </ns3:stretch>
                  </ns4:blipFill>
                  <ns4:spPr>
                    <ns3:xfrm>
                      <ns3:off x="0" y="0"/>
                      <ns3:ext cx="5715000" cy="3906456"/>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7. Responsible governance addresses both harmful applications and attacks, capture or restrictions that damage beneficial AI.</ns0:t>
      </ns0:r>
    </ns0:p>
    <ns0:p>
      <ns0:pPr>
        <ns0:pStyle ns0:val="Heading2"/>
        <ns0:keepNext/>
        <ns0:keepLines/>
        <ns0:widowControl/>
      </ns0:pPr>
      <ns0:r>
        <ns0:t>Threats created by AI use</ns0:t>
      </ns0:r>
    </ns0:p>
    <ns0:p>
      <ns0:pPr>
        <ns0:pStyle ns0:val="ListBullet"/>
        <ns0:widowControl/>
        <ns0:spacing/>
        <ns0:ind ns0:left="540" ns0:hanging="271"/>
      </ns0:pPr>
      <ns0:r>
        <ns0:t>Fraud, impersonation, financial scams, nonconsensual synthetic media and fabricated evidence.</ns0:t>
      </ns0:r>
    </ns0:p>
    <ns0:p>
      <ns0:pPr>
        <ns0:pStyle ns0:val="ListBullet"/>
        <ns0:widowControl/>
        <ns0:spacing/>
        <ns0:ind ns0:left="540" ns0:hanging="271"/>
      </ns0:pPr>
      <ns0:r>
        <ns0:t>Cyber operations, automated reconnaissance, malicious code assistance and attacks on critical infrastructure.</ns0:t>
      </ns0:r>
    </ns0:p>
    <ns0:p>
      <ns0:pPr>
        <ns0:pStyle ns0:val="ListBullet"/>
        <ns0:widowControl/>
        <ns0:spacing/>
        <ns0:ind ns0:left="540" ns0:hanging="271"/>
      </ns0:pPr>
      <ns0:r>
        <ns0:t>Propaganda, influence operations, censorship, surveillance and manipulation of public belief.</ns0:t>
      </ns0:r>
    </ns0:p>
    <ns0:p>
      <ns0:pPr>
        <ns0:pStyle ns0:val="ListBullet"/>
        <ns0:widowControl/>
        <ns0:spacing/>
        <ns0:ind ns0:left="540" ns0:hanging="271"/>
      </ns0:pPr>
      <ns0:r>
        <ns0:t>Biased, opaque or unappealable decisions in employment, credit, healthcare, policing and government benefits.</ns0:t>
      </ns0:r>
    </ns0:p>
    <ns0:p>
      <ns0:pPr>
        <ns0:pStyle ns0:val="ListBullet"/>
        <ns0:widowControl/>
        <ns0:spacing/>
        <ns0:ind ns0:left="540" ns0:hanging="271"/>
      </ns0:pPr>
      <ns0:r>
        <ns0:t>Mass-produced low-quality information, privacy loss, intellectual-property conflict and erosion of human skill.</ns0:t>
      </ns0:r>
    </ns0:p>
    <ns0:p>
      <ns0:pPr>
        <ns0:pStyle ns0:val="Heading2"/>
        <ns0:keepNext/>
        <ns0:keepLines/>
        <ns0:widowControl/>
      </ns0:pPr>
      <ns0:r>
        <ns0:t>Threats to AI and beneficial development</ns0:t>
      </ns0:r>
    </ns0:p>
    <ns0:p>
      <ns0:pPr>
        <ns0:pStyle ns0:val="ListBullet"/>
        <ns0:widowControl/>
        <ns0:spacing/>
        <ns0:ind ns0:left="540" ns0:hanging="271"/>
      </ns0:pPr>
      <ns0:r>
        <ns0:t>Training-data poisoning, prompt injection, model theft, sabotage, espionage and supply-chain compromise.</ns0:t>
      </ns0:r>
    </ns0:p>
    <ns0:p>
      <ns0:pPr>
        <ns0:pStyle ns0:val="ListBullet"/>
        <ns0:widowControl/>
        <ns0:spacing/>
        <ns0:ind ns0:left="540" ns0:hanging="271"/>
      </ns0:pPr>
      <ns0:r>
        <ns0:t>Compute, energy and semiconductor concentration that creates fragile dependencies or political leverage.</ns0:t>
      </ns0:r>
    </ns0:p>
    <ns0:p>
      <ns0:pPr>
        <ns0:pStyle ns0:val="ListBullet"/>
        <ns0:widowControl/>
        <ns0:spacing/>
        <ns0:ind ns0:left="540" ns0:hanging="271"/>
      </ns0:pPr>
      <ns0:r>
        <ns0:t>Regulatory or corporate capture that protects incumbents, suppresses competition or converts voluntary guidance into opaque control.</ns0:t>
      </ns0:r>
    </ns0:p>
    <ns0:p>
      <ns0:pPr>
        <ns0:pStyle ns0:val="ListBullet"/>
        <ns0:widowControl/>
        <ns0:spacing/>
        <ns0:ind ns0:left="540" ns0:hanging="271"/>
      </ns0:pPr>
      <ns0:r>
        <ns0:t>Censorship, ideological manipulation, deceptive evaluation and safety claims that cannot be independently tested.</ns0:t>
      </ns0:r>
    </ns0:p>
    <ns0:p>
      <ns0:pPr>
        <ns0:pStyle ns0:val="ListBullet"/>
        <ns0:widowControl/>
        <ns0:spacing/>
        <ns0:ind ns0:left="540" ns0:hanging="271"/>
      </ns0:pPr>
      <ns0:r>
        <ns0:t>Blanket opposition or poorly designed bans that drive use underground, widen unequal access or prevent legitimate medical, scientific, educational and security benefits.</ns0:t>
      </ns0:r>
    </ns0:p>
    <ns0:p>
      <ns0:pPr>
        <ns0:pStyle ns0:val="Heading2"/>
        <ns0:keepNext/>
        <ns0:keepLines/>
        <ns0:widowControl/>
      </ns0:pPr>
      <ns0:r>
        <ns0:t>Opposition, advocacy and criminal-use evidence</ns0:t>
      </ns0:r>
    </ns0:p>
    <ns0:p>
      <ns0:pPr>
        <ns0:widowControl/>
      </ns0:pPr>
      <ns0:r>
        <ns0:t>The investigation includes pause campaigns, labor unions, artists’ and authors’ groups, civil-liberties advocates, businesses, lobbyists and politicians seeking restriction, compensation, consent, transparency or prohibition. “Anti-AI” is not a sufficient category: a demand for worker bargaining rights or protection against nonconsensual replicas is different from opposition to all machine learning. Criminal-use claims must distinguish warnings, vendor reports, allegations, charges, intelligence assessments, convictions and measured losses.</ns0:t>
      </ns0:r>
    </ns0:p>
    <ns0:p>
      <ns0:pPr>
        <ns0:pStyle ns0:val="Heading1"/>
        <ns0:keepNext/>
        <ns0:keepLines/>
        <ns0:widowControl/>
      </ns0:pPr>
      <ns0:r>
        <ns0:t>6. AI’s Promise, Productivity and Present Reality</ns0:t>
      </ns0:r>
    </ns0:p>
    <ns0:p>
      <ns0:pPr>
        <ns0:widowControl/>
      </ns0:pPr>
      <ns0:r>
        <ns0:t>AI can create profound productivity and economic-efficiency gains by reducing routine work, accelerating research, improving access to expertise and helping smaller organizations perform tasks once reserved for large institutions. These gains should be treated as an opportunity for self-improvement and professional advancement. Productivity is most valuable when it frees people to learn, create, serve others, build businesses, improve judgment and perform more meaningful work.</ns0:t>
      </ns0:r>
    </ns0:p>
    <ns0:p>
      <ns0:pPr>
        <ns0:keepNext/>
        <ns0:keepLines/>
        <ns0:spacing ns0:before="160" ns0:after="60"/>
        <ns0:jc ns0:val="center"/>
      </ns0:pPr>
      <ns0:r>
        <ns0:drawing>
          <ns2:inline>
            <ns2:extent cx="5715000" cy="3203575"/>
            <ns2:docPr id="8" name="Picture 8" descr="Image: image8.png"/>
            <ns2:cNvGraphicFramePr>
              <ns3:graphicFrameLocks noChangeAspect="1"/>
            </ns2:cNvGraphicFramePr>
            <ns3:graphic>
              <ns3:graphicData uri="http://schemas.openxmlformats.org/drawingml/2006/picture">
                <ns4:pic>
                  <ns4:nvPicPr>
                    <ns4:cNvPr id="0" name="09_productivity_to_human_gain.png"/>
                    <ns4:cNvPicPr/>
                  </ns4:nvPicPr>
                  <ns4:blipFill>
                    <ns3:blip ns5:embed="rId17"/>
                    <ns3:stretch>
                      <ns3:fillRect/>
                    </ns3:stretch>
                  </ns4:blipFill>
                  <ns4:spPr>
                    <ns3:xfrm>
                      <ns3:off x="0" y="0"/>
                      <ns3:ext cx="5715000" cy="3203575"/>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8. Output and cost matter, but they do not by themselves establish human progress.</ns0:t>
      </ns0:r>
    </ns0:p>
    <ns0:p>
      <ns0:pPr>
        <ns0:pStyle ns0:val="Heading2"/>
        <ns0:keepNext/>
        <ns0:keepLines/>
        <ns0:widowControl/>
        <ns0:spacing ns0:after="120"/>
      </ns0:pPr>
      <ns0:r>
        <ns0:t>Promise versus reality</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2300"/>
        <ns0:gridCol ns0:w="3300"/>
        <ns0:gridCol ns0:w="3760"/>
      </ns0:tblGrid>
      <ns0:tr>
        <ns0:trPr>
          <ns0:tblHeader ns0:val="true"/>
        </ns0:trPr>
        <ns0:tc>
          <ns0:tcPr>
            <ns0:tcW ns0:type="dxa" ns0:w="23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Promise</ns0:t>
            </ns0:r>
          </ns0:p>
        </ns0:tc>
        <ns0:tc>
          <ns0:tcPr>
            <ns0:tcW ns0:type="dxa" ns0:w="33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Present reality to test</ns0:t>
            </ns0:r>
          </ns0:p>
        </ns0:tc>
        <ns0:tc>
          <ns0:tcPr>
            <ns0:tcW ns0:type="dxa" ns0:w="376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What success should require</ns0:t>
            </ns0:r>
          </ns0:p>
        </ns0:tc>
      </ns0:tr>
      <ns0:tr>
        <ns0:tc>
          <ns0:tcPr>
            <ns0:tcW ns0:type="dxa" ns0:w="2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Personalized education</ns0:t>
            </ns0:r>
          </ns0:p>
        </ns0:tc>
        <ns0:tc>
          <ns0:tcPr>
            <ns0:tcW ns0:type="dxa" ns0:w="3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Assistance may improve output without durable learning</ns0:t>
            </ns0:r>
          </ns0:p>
        </ns0:tc>
        <ns0:tc>
          <ns0:tcPr>
            <ns0:tcW ns0:type="dxa" ns0:w="3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Retention, transfer, independent reasoning and equitable access</ns0:t>
            </ns0:r>
          </ns0:p>
        </ns0:tc>
      </ns0:tr>
      <ns0:tr>
        <ns0:tc>
          <ns0:tcPr>
            <ns0:tcW ns0:type="dxa" ns0:w="2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Better healthcare</ns0:t>
            </ns0:r>
          </ns0:p>
        </ns0:tc>
        <ns0:tc>
          <ns0:tcPr>
            <ns0:tcW ns0:type="dxa" ns0:w="3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Strong performance can be narrow and data-dependent</ns0:t>
            </ns0:r>
          </ns0:p>
        </ns0:tc>
        <ns0:tc>
          <ns0:tcPr>
            <ns0:tcW ns0:type="dxa" ns0:w="3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Clinical benefit, safety, privacy, explanation and accountable professionals</ns0:t>
            </ns0:r>
          </ns0:p>
        </ns0:tc>
      </ns0:tr>
      <ns0:tr>
        <ns0:tc>
          <ns0:tcPr>
            <ns0:tcW ns0:type="dxa" ns0:w="2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Higher productivity</ns0:t>
            </ns0:r>
          </ns0:p>
        </ns0:tc>
        <ns0:tc>
          <ns0:tcPr>
            <ns0:tcW ns0:type="dxa" ns0:w="3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Time savings may become layoffs or intensified workload</ns0:t>
            </ns0:r>
          </ns0:p>
        </ns0:tc>
        <ns0:tc>
          <ns0:tcPr>
            <ns0:tcW ns0:type="dxa" ns0:w="3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Shared gains, skill growth, professional mobility and better services</ns0:t>
            </ns0:r>
          </ns0:p>
        </ns0:tc>
      </ns0:tr>
      <ns0:tr>
        <ns0:tc>
          <ns0:tcPr>
            <ns0:tcW ns0:type="dxa" ns0:w="2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Democratized expertise</ns0:t>
            </ns0:r>
          </ns0:p>
        </ns0:tc>
        <ns0:tc>
          <ns0:tcPr>
            <ns0:tcW ns0:type="dxa" ns0:w="3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Access can expand while infrastructure power concentrates</ns0:t>
            </ns0:r>
          </ns0:p>
        </ns0:tc>
        <ns0:tc>
          <ns0:tcPr>
            <ns0:tcW ns0:type="dxa" ns0:w="3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Competition, affordability, verification and user autonomy</ns0:t>
            </ns0:r>
          </ns0:p>
        </ns0:tc>
      </ns0:tr>
      <ns0:tr>
        <ns0:tc>
          <ns0:tcPr>
            <ns0:tcW ns0:type="dxa" ns0:w="2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Safer institutions</ns0:t>
            </ns0:r>
          </ns0:p>
        </ns0:tc>
        <ns0:tc>
          <ns0:tcPr>
            <ns0:tcW ns0:type="dxa" ns0:w="3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Automation can scale errors and create common points of failure</ns0:t>
            </ns0:r>
          </ns0:p>
        </ns0:tc>
        <ns0:tc>
          <ns0:tcPr>
            <ns0:tcW ns0:type="dxa" ns0:w="3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Audit, fallback operations, appeal and resilience</ns0:t>
            </ns0:r>
          </ns0:p>
        </ns0:tc>
      </ns0:tr>
      <ns0:tr>
        <ns0:tc>
          <ns0:tcPr>
            <ns0:tcW ns0:type="dxa" ns0:w="2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More truth</ns0:t>
            </ns0:r>
          </ns0:p>
        </ns0:tc>
        <ns0:tc>
          <ns0:tcPr>
            <ns0:tcW ns0:type="dxa" ns0:w="33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AI can retrieve evidence and manufacture plausible falsehood</ns0:t>
            </ns0:r>
          </ns0:p>
        </ns0:tc>
        <ns0:tc>
          <ns0:tcPr>
            <ns0:tcW ns0:type="dxa" ns0:w="37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Source integrity, authentication, visible correction and public literacy</ns0:t>
            </ns0:r>
          </ns0:p>
        </ns0:tc>
      </ns0:tr>
    </ns0:tbl>
    <ns0:p>
      <ns0:pPr>
        <ns0:spacing ns0:after="0" ns0:before="160"/>
      </ns0:pPr>
    </ns0:p>
    <ns0:p>
      <ns0:pPr>
        <ns0:pStyle ns0:val="Heading2"/>
        <ns0:keepNext/>
        <ns0:keepLines/>
        <ns0:widowControl/>
      </ns0:pPr>
      <ns0:r>
        <ns0:t>Two scoreboards</ns0:t>
      </ns0:r>
    </ns0:p>
    <ns0:p>
      <ns0:pPr>
        <ns0:widowControl/>
      </ns0:pPr>
      <ns0:r>
        <ns0:t>Machine capability should be measured through accuracy, reliability, speed, cost, reproducibility, security, energy and resource efficiency, robustness and performance against credible alternatives. Human flourishing should be measured through decision quality, knowledge retention, skill, autonomy, privacy, due process, accessibility, distribution of benefit, accountability, trust, relationships and resilience during failure. Improvement on the first scoreboard does not prove improvement on the second.</ns0:t>
      </ns0:r>
    </ns0:p>
    <ns0:p>
      <ns0:pPr>
        <ns0:pStyle ns0:val="Heading1"/>
        <ns0:keepNext/>
        <ns0:keepLines/>
        <ns0:widowControl/>
      </ns0:pPr>
      <ns0:r>
        <ns0:t>7. Responsible and Purposeful Human Direction</ns0:t>
      </ns0:r>
    </ns0:p>
    <ns0:p>
      <ns0:pPr>
        <ns0:keepNext/>
        <ns0:keepLines/>
        <ns0:spacing ns0:before="160" ns0:after="60"/>
        <ns0:jc ns0:val="center"/>
      </ns0:pPr>
      <ns0:r>
        <ns0:drawing>
          <ns2:inline>
            <ns2:extent cx="5212080" cy="2958041"/>
            <ns2:docPr id="9" name="Picture 9" descr="Image: image9.png"/>
            <ns2:cNvGraphicFramePr>
              <ns3:graphicFrameLocks noChangeAspect="1"/>
            </ns2:cNvGraphicFramePr>
            <ns3:graphic>
              <ns3:graphicData uri="http://schemas.openxmlformats.org/drawingml/2006/picture">
                <ns4:pic>
                  <ns4:nvPicPr>
                    <ns4:cNvPr id="0" name="10_responsibility_loop.png"/>
                    <ns4:cNvPicPr/>
                  </ns4:nvPicPr>
                  <ns4:blipFill>
                    <ns3:blip ns5:embed="rId18"/>
                    <ns3:stretch>
                      <ns3:fillRect/>
                    </ns3:stretch>
                  </ns4:blipFill>
                  <ns4:spPr>
                    <ns3:xfrm>
                      <ns3:off x="0" y="0"/>
                      <ns3:ext cx="5212080" cy="2958041"/>
                    </ns3:xfrm>
                    <ns3:prstGeom prst="rect"/>
                  </ns4:spPr>
                </ns4:pic>
              </ns3:graphicData>
            </ns3:graphic>
          </ns2:inline>
        </ns0:drawing>
      </ns0:r>
    </ns0:p>
    <ns0:p>
      <ns0:pPr>
        <ns0:keepLines/>
        <ns0:widowControl/>
        <ns0:spacing ns0:before="0" ns0:after="120" ns0:line="240" ns0:lineRule="auto"/>
        <ns0:jc ns0:val="center"/>
      </ns0:pPr>
      <ns0:r>
        <ns0:rPr>
          <ns0:i/>
          <ns0:color ns0:val="5B6570"/>
          <ns0:sz ns0:val="18"/>
        </ns0:rPr>
        <ns0:t>Figure 9. Responsible use controls risk; purposeful use begins with a legitimate human objective and measures whether AI actually improves it.</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1800"/>
        <ns0:gridCol ns0:w="7560"/>
      </ns0:tblGrid>
      <ns0:tr>
        <ns0:trPr>
          <ns0:tblHeader ns0:val="true"/>
        </ns0:trPr>
        <ns0:tc>
          <ns0:tcPr>
            <ns0:tcW ns0:type="dxa" ns0:w="18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Actor</ns0:t>
            </ns0:r>
          </ns0:p>
        </ns0:tc>
        <ns0:tc>
          <ns0:tcPr>
            <ns0:tcW ns0:type="dxa" ns0:w="756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6"/>
              </ns0:rPr>
              <ns0:t>Primary responsibility</ns0:t>
            </ns0:r>
          </ns0:p>
        </ns0:tc>
      </ns0:tr>
      <ns0:tr>
        <ns0:tc>
          <ns0:tcPr>
            <ns0:tcW ns0:type="dxa" ns0:w="18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Individuals</ns0:t>
            </ns0:r>
          </ns0:p>
        </ns0:tc>
        <ns0:tc>
          <ns0:tcPr>
            <ns0:tcW ns0:type="dxa" ns0:w="75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Verify important claims; protect confidential data; preserve foundational skills; ask for counterarguments; retain responsibility.</ns0:t>
            </ns0:r>
          </ns0:p>
        </ns0:tc>
      </ns0:tr>
      <ns0:tr>
        <ns0:tc>
          <ns0:tcPr>
            <ns0:tcW ns0:type="dxa" ns0:w="18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Parents</ns0:t>
            </ns0:r>
          </ns0:p>
        </ns0:tc>
        <ns0:tc>
          <ns0:tcPr>
            <ns0:tcW ns0:type="dxa" ns0:w="75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Know which systems children use; protect privacy and development; preserve spaces for unaided reading, writing, calculation, play and conversation.</ns0:t>
            </ns0:r>
          </ns0:p>
        </ns0:tc>
      </ns0:tr>
      <ns0:tr>
        <ns0:tc>
          <ns0:tcPr>
            <ns0:tcW ns0:type="dxa" ns0:w="18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Educators</ns0:t>
            </ns0:r>
          </ns0:p>
        </ns0:tc>
        <ns0:tc>
          <ns0:tcPr>
            <ns0:tcW ns0:type="dxa" ns0:w="75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Teach AI literacy and subject knowledge together; disclose permitted use; assess process and independent mastery; keep teachers in authority.</ns0:t>
            </ns0:r>
          </ns0:p>
        </ns0:tc>
      </ns0:tr>
      <ns0:tr>
        <ns0:tc>
          <ns0:tcPr>
            <ns0:tcW ns0:type="dxa" ns0:w="18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Businesses</ns0:t>
            </ns0:r>
          </ns0:p>
        </ns0:tc>
        <ns0:tc>
          <ns0:tcPr>
            <ns0:tcW ns0:type="dxa" ns0:w="75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Approve use cases; classify data; assign owners; validate outputs; plan incidents and fallback operations; invest productivity gains in people.</ns0:t>
            </ns0:r>
          </ns0:p>
        </ns0:tc>
      </ns0:tr>
      <ns0:tr>
        <ns0:tc>
          <ns0:tcPr>
            <ns0:tcW ns0:type="dxa" ns0:w="18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Government</ns0:t>
            </ns0:r>
          </ns0:p>
        </ns0:tc>
        <ns0:tc>
          <ns0:tcPr>
            <ns0:tcW ns0:type="dxa" ns0:w="75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Protect constitutional rights, due process, competition, children, privacy and national security; invest in research, education, energy, chips and expertise.</ns0:t>
            </ns0:r>
          </ns0:p>
        </ns0:tc>
      </ns0:tr>
      <ns0:tr>
        <ns0:tc>
          <ns0:tcPr>
            <ns0:tcW ns0:type="dxa" ns0:w="18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Developers</ns0:t>
            </ns0:r>
          </ns0:p>
        </ns0:tc>
        <ns0:tc>
          <ns0:tcPr>
            <ns0:tcW ns0:type="dxa" ns0:w="75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6"/>
              </ns0:rPr>
              <ns0:t>Document limits; test foreseeable misuse; secure systems; support audits; disclose material failures; design for human challenge and control.</ns0:t>
            </ns0:r>
          </ns0:p>
        </ns0:tc>
      </ns0:tr>
    </ns0:tbl>
    <ns0:p>
      <ns0:pPr>
        <ns0:spacing ns0:after="0" ns0:before="160"/>
      </ns0:pPr>
    </ns0:p>
    <ns0:p>
      <ns0:pPr>
        <ns0:pStyle ns0:val="Heading2"/>
        <ns0:keepNext/>
        <ns0:keepLines/>
        <ns0:widowControl/>
      </ns0:pPr>
      <ns0:r>
        <ns0:t>Human Readiness Board</ns0:t>
      </ns0:r>
    </ns0:p>
    <ns0:p>
      <ns0:pPr>
        <ns0:keepNext/>
        <ns0:keepLines/>
        <ns0:spacing ns0:before="160" ns0:after="60"/>
        <ns0:jc ns0:val="center"/>
      </ns0:pPr>
      <ns0:r>
        <ns0:drawing>
          <ns2:inline>
            <ns2:extent cx="5029200" cy="4912513"/>
            <ns2:docPr id="10" name="Picture 10" descr="Image: image10.png"/>
            <ns2:cNvGraphicFramePr>
              <ns3:graphicFrameLocks noChangeAspect="1"/>
            </ns2:cNvGraphicFramePr>
            <ns3:graphic>
              <ns3:graphicData uri="http://schemas.openxmlformats.org/drawingml/2006/picture">
                <ns4:pic>
                  <ns4:nvPicPr>
                    <ns4:cNvPr id="0" name="06_human_readiness_board.png"/>
                    <ns4:cNvPicPr/>
                  </ns4:nvPicPr>
                  <ns4:blipFill>
                    <ns3:blip ns5:embed="rId19"/>
                    <ns3:stretch>
                      <ns3:fillRect/>
                    </ns3:stretch>
                  </ns4:blipFill>
                  <ns4:spPr>
                    <ns3:xfrm>
                      <ns3:off x="0" y="0"/>
                      <ns3:ext cx="5029200" cy="4912513"/>
                    </ns3:xfrm>
                    <ns3:prstGeom prst="rect"/>
                  </ns4:spPr>
                </ns4:pic>
              </ns3:graphicData>
            </ns3:graphic>
          </ns2:inline>
        </ns0:drawing>
      </ns0:r>
    </ns0:p>
    <ns0:p>
      <ns0:pPr>
        <ns0:keepLines/>
        <ns0:widowControl/>
        <ns0:spacing ns0:before="0" ns0:after="200" ns0:line="240" ns0:lineRule="auto"/>
        <ns0:jc ns0:val="center"/>
      </ns0:pPr>
      <ns0:r>
        <ns0:rPr>
          <ns0:i/>
          <ns0:color ns0:val="5B6570"/>
          <ns0:sz ns0:val="18"/>
        </ns0:rPr>
        <ns0:t>Figure 10. Readiness is not model capability. It is society’s ability to understand, question, secure, govern and benefit from AI.</ns0:t>
      </ns0:r>
    </ns0:p>
    <ns0:p>
      <ns0:pPr>
        <ns0:widowControl/>
      </ns0:pPr>
      <ns0:r>
        <ns0:t>The board asks whether people understand AI; can distinguish evidence from plausibility; possess trained institutions and fallback procedures; retain rights and appeal; secure systems against manipulation; share opportunity broadly; and identify who is accountable when harm occurs. These dimensions should be measured periodically rather than assumed.</ns0:t>
      </ns0:r>
    </ns0:p>
    <ns0:p>
      <ns0:pPr>
        <ns0:pStyle ns0:val="Heading1"/>
        <ns0:keepNext/>
        <ns0:keepLines/>
        <ns0:widowControl/>
        <ns0:spacing ns0:after="120"/>
      </ns0:pPr>
      <ns0:r>
        <ns0:t>Conclusion</ns0:t>
      </ns0:r>
    </ns0:p>
    <ns0:tbl>
      <ns0:tblPr>
        <ns0:tblW ns0:type="dxa" ns0:w="9360"/>
        <ns0:tblLayout ns0:type="fixed"/>
        <ns0:tblLook ns0:firstColumn="1" ns0:firstRow="1" ns0:lastColumn="0" ns0:lastRow="0" ns0:noHBand="0" ns0:noVBand="1" ns0:val="04A0"/>
        <ns0:jc ns0:val="center"/>
        <ns0:tblInd ns0:w="120" ns0:type="dxa"/>
        <ns0:tblCellMar>
          <ns0:top ns0:w="90" ns0:type="dxa"/>
          <ns0:bottom ns0:w="90" ns0:type="dxa"/>
          <ns0:left ns0:w="110" ns0:type="dxa"/>
          <ns0:right ns0:w="110" ns0:type="dxa"/>
        </ns0:tblCellMar>
      </ns0:tblPr>
      <ns0:tblGrid>
        <ns0:gridCol ns0:w="9360"/>
      </ns0:tblGrid>
      <ns0:tr>
        <ns0:trPr>
          <ns0:cantSplit/>
          <ns0:tblHeader/>
        </ns0:trPr>
        <ns0:tc>
          <ns0:tcPr>
            <ns0:tcW ns0:type="dxa" ns0:w="9360"/>
            <ns0:tcMar>
              <ns0:top ns0:w="140" ns0:type="dxa"/>
              <ns0:start ns0:w="170" ns0:type="dxa"/>
              <ns0:bottom ns0:w="140" ns0:type="dxa"/>
              <ns0:end ns0:w="170" ns0:type="dxa"/>
            </ns0:tcMar>
            <ns0:vAlign ns0:val="center"/>
            <ns0:shd ns0:fill="F6EFD9"/>
          </ns0:tcPr>
          <ns0:p>
            <ns0:pPr>
              <ns0:widowControl/>
              <ns0:spacing ns0:after="40" ns0:before="0" ns0:line="269" ns0:lineRule="auto"/>
            </ns0:pPr>
            <ns0:r>
              <ns0:rPr>
                <ns0:b/>
                <ns0:color ns0:val="17324D"/>
                <ns0:sz ns0:val="22"/>
              </ns0:rPr>
              <ns0:t xml:space="preserve">Conclusion:  </ns0:t>
            </ns0:r>
            <ns0:r>
              <ns0:rPr>
                <ns0:b/>
                <ns0:color ns0:val="18212A"/>
                <ns0:sz ns0:val="21"/>
              </ns0:rPr>
              <ns0:t>AI should be developed and used responsibly, deliberately and purposefully—as an instrument of examined human judgment, not a replacement for it.</ns0:t>
            </ns0:r>
          </ns0:p>
        </ns0:tc>
      </ns0:tr>
    </ns0:tbl>
    <ns0:p>
      <ns0:pPr>
        <ns0:spacing ns0:after="0" ns0:before="160"/>
      </ns0:pPr>
    </ns0:p>
    <ns0:p>
      <ns0:pPr>
        <ns0:widowControl/>
      </ns0:pPr>
      <ns0:r>
        <ns0:t>AI’s future will be shaped by the questions people ask, the information systems are permitted to use, the objectives developers reward, the institutions that deploy them, the laws governments enact and the habits society chooses to preserve. The central danger is not only that machines become powerful. It is that humans become intellectually passive, morally evasive or institutionally dependent while confusing generated certainty with wisdom.</ns0:t>
      </ns0:r>
    </ns0:p>
    <ns0:p>
      <ns0:pPr>
        <ns0:widowControl/>
      </ns0:pPr>
      <ns0:r>
        <ns0:t>The central promise is not automation alone. It is that informed people can use AI to expand knowledge, creativity, health, security, productivity, accessibility and opportunity without surrendering truth, freedom, judgment or human dignity. Children must still learn foundational skills. Professionals must retain the expertise to challenge systems. Citizens must demand original evidence. Institutions must reward correction. Governments must protect liberty, competition, due process and national resilience.</ns0:t>
      </ns0:r>
    </ns0:p>
    <ns0:p>
      <ns0:pPr>
        <ns0:widowControl/>
      </ns0:pPr>
      <ns0:r>
        <ns0:t>Current AI does not duplicate the full potential of human intellect: it can process information at remarkable scale but lacks human consciousness, lived experience, moral agency and responsibility. This investigation demonstrated the distinction. AI materially assisted research, data collection and analysis, but required substantial human oversight, formation of the argument, writing and editing. Neither the AI nor the author claims perfection; the evidence, transparency and effort should speak for themselves.</ns0:t>
      </ns0:r>
    </ns0:p>
    <ns0:p>
      <ns0:pPr>
        <ns0:widowControl/>
      </ns0:pPr>
      <ns0:r>
        <ns0:t>The final measure is therefore human: not only what machines can produce, but whether the people and societies using them become more truthful, capable, free, ethical and wise.</ns0:t>
      </ns0:r>
    </ns0:p>
    <ns0:p>
      <ns0:pPr>
        <ns0:pStyle ns0:val="Heading1"/>
        <ns0:keepNext/>
        <ns0:keepLines/>
        <ns0:widowControl/>
      </ns0:pPr>
      <ns0:r>
        <ns0:t>Evidence Rules and Selected Source Map</ns0:t>
      </ns0:r>
    </ns0:p>
    <ns0:p>
      <ns0:pPr>
        <ns0:pStyle ns0:val="ListNumber"/>
        <ns0:widowControl/>
        <ns0:spacing/>
        <ns0:ind ns0:left="540" ns0:hanging="271"/>
      </ns0:pPr>
      <ns0:r>
        <ns0:t>Prefer original documents, data, code, statutes, regulations, court decisions, audits and direct testimony.</ns0:t>
      </ns0:r>
    </ns0:p>
    <ns0:p>
      <ns0:pPr>
        <ns0:pStyle ns0:val="ListNumber"/>
        <ns0:widowControl/>
        <ns0:spacing/>
        <ns0:ind ns0:left="540" ns0:hanging="271"/>
      </ns0:pPr>
      <ns0:r>
        <ns0:t>Distinguish facts, official claims, expert judgments, inference and speculation.</ns0:t>
      </ns0:r>
    </ns0:p>
    <ns0:p>
      <ns0:pPr>
        <ns0:pStyle ns0:val="ListNumber"/>
        <ns0:widowControl/>
        <ns0:spacing/>
        <ns0:ind ns0:left="540" ns0:hanging="271"/>
      </ns0:pPr>
      <ns0:r>
        <ns0:t>Match a source’s jurisdiction and authority to the claim being made.</ns0:t>
      </ns0:r>
    </ns0:p>
    <ns0:p>
      <ns0:pPr>
        <ns0:pStyle ns0:val="ListNumber"/>
        <ns0:widowControl/>
        <ns0:spacing/>
        <ns0:ind ns0:left="540" ns0:hanging="271"/>
      </ns0:pPr>
      <ns0:r>
        <ns0:t>Separate proposed policy from enacted, implemented and enforced policy.</ns0:t>
      </ns0:r>
    </ns0:p>
    <ns0:p>
      <ns0:pPr>
        <ns0:pStyle ns0:val="ListNumber"/>
        <ns0:widowControl/>
        <ns0:spacing/>
        <ns0:ind ns0:left="540" ns0:hanging="271"/>
      </ns0:pPr>
      <ns0:r>
        <ns0:t>Disclose material financial, political, corporate and institutional interests.</ns0:t>
      </ns0:r>
    </ns0:p>
    <ns0:p>
      <ns0:pPr>
        <ns0:pStyle ns0:val="ListNumber"/>
        <ns0:widowControl/>
        <ns0:spacing/>
        <ns0:ind ns0:left="540" ns0:hanging="271"/>
      </ns0:pPr>
      <ns0:r>
        <ns0:t>Compare opposing interpretations using their strongest evidence.</ns0:t>
      </ns0:r>
    </ns0:p>
    <ns0:p>
      <ns0:pPr>
        <ns0:pStyle ns0:val="ListNumber"/>
        <ns0:widowControl/>
        <ns0:spacing/>
        <ns0:ind ns0:left="540" ns0:hanging="271"/>
      </ns0:pPr>
      <ns0:r>
        <ns0:t>Separate correlation, plausible mechanism, contribution and demonstrated causation.</ns0:t>
      </ns0:r>
    </ns0:p>
    <ns0:p>
      <ns0:pPr>
        <ns0:pStyle ns0:val="ListNumber"/>
        <ns0:widowControl/>
        <ns0:spacing ns0:after="120"/>
        <ns0:ind ns0:left="540" ns0:hanging="271"/>
      </ns0:pPr>
      <ns0:r>
        <ns0:t>Record uncertainty; preserve dated predictions; verify citations; correct errors visibly.</ns0:t>
      </ns0:r>
    </ns0:p>
    <ns0:tbl>
      <ns0:tblPr>
        <ns0:tblStyle ns0:val="TableGrid"/>
        <ns0:tblW ns0:type="dxa" ns0:w="9360"/>
        <ns0:jc ns0:val="center"/>
        <ns0:tblLayout ns0:type="fixed"/>
        <ns0:tblLook ns0:firstColumn="1" ns0:firstRow="1" ns0:lastColumn="0" ns0:lastRow="0" ns0:noHBand="0" ns0:noVBand="1" ns0:val="04A0"/>
        <ns0:tblInd ns0:w="120" ns0:type="dxa"/>
        <ns0:tblCellMar>
          <ns0:top ns0:w="90" ns0:type="dxa"/>
          <ns0:bottom ns0:w="90" ns0:type="dxa"/>
          <ns0:left ns0:w="110" ns0:type="dxa"/>
          <ns0:right ns0:w="110" ns0:type="dxa"/>
        </ns0:tblCellMar>
      </ns0:tblPr>
      <ns0:tblGrid>
        <ns0:gridCol ns0:w="2100"/>
        <ns0:gridCol ns0:w="7260"/>
      </ns0:tblGrid>
      <ns0:tr>
        <ns0:trPr>
          <ns0:tblHeader ns0:val="true"/>
        </ns0:trPr>
        <ns0:tc>
          <ns0:tcPr>
            <ns0:tcW ns0:type="dxa" ns0:w="210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Source family</ns0:t>
            </ns0:r>
          </ns0:p>
        </ns0:tc>
        <ns0:tc>
          <ns0:tcPr>
            <ns0:tcW ns0:type="dxa" ns0:w="7260"/>
            <ns0:tcMar>
              <ns0:top ns0:w="80" ns0:type="dxa"/>
              <ns0:start ns0:w="120" ns0:type="dxa"/>
              <ns0:bottom ns0:w="80" ns0:type="dxa"/>
              <ns0:end ns0:w="120" ns0:type="dxa"/>
            </ns0:tcMar>
            <ns0:vAlign ns0:val="center"/>
            <ns0:shd ns0:fill="E8EEF5"/>
          </ns0:tcPr>
          <ns0:p>
            <ns0:pPr>
              <ns0:widowControl/>
              <ns0:spacing ns0:before="0" ns0:after="40" ns0:line="269" ns0:lineRule="auto"/>
            </ns0:pPr>
            <ns0:r>
              <ns0:rPr>
                <ns0:rFonts ns0:ascii="Calibri" ns0:hAnsi="Calibri"/>
                <ns0:b/>
                <ns0:color ns0:val="18212A"/>
                <ns0:sz ns0:val="17"/>
              </ns0:rPr>
              <ns0:t>Examples and role</ns0:t>
            </ns0:r>
          </ns0:p>
        </ns0:tc>
      </ns0:tr>
      <ns0:tr>
        <ns0:tc>
          <ns0:tcPr>
            <ns0:tcW ns0:type="dxa" ns0:w="21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Philosophy</ns0:t>
            </ns0:r>
          </ns0:p>
        </ns0:tc>
        <ns0:tc>
          <ns0:tcPr>
            <ns0:tcW ns0:type="dxa" ns0:w="72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Aristotle, Nicomachean Ethics; Stanford Encyclopedia of Philosophy on Aristotle’s ethics</ns0:t>
            </ns0:r>
          </ns0:p>
        </ns0:tc>
      </ns0:tr>
      <ns0:tr>
        <ns0:tc>
          <ns0:tcPr>
            <ns0:tcW ns0:type="dxa" ns0:w="21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U.S. policy and law</ns0:t>
            </ns0:r>
          </ns0:p>
        </ns0:tc>
        <ns0:tc>
          <ns0:tcPr>
            <ns0:tcW ns0:type="dxa" ns0:w="72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Congress.gov and U.S. Code; White House/OSTP; National AI Initiative Office; PCAST; OMB; NSC and presidential memoranda</ns0:t>
            </ns0:r>
          </ns0:p>
        </ns0:tc>
      </ns0:tr>
      <ns0:tr>
        <ns0:tc>
          <ns0:tcPr>
            <ns0:tcW ns0:type="dxa" ns0:w="21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Standards and accountability</ns0:t>
            </ns0:r>
          </ns0:p>
        </ns0:tc>
        <ns0:tc>
          <ns0:tcPr>
            <ns0:tcW ns0:type="dxa" ns0:w="72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NIST AI Risk Management Framework; GAO AI Accountability Framework; ISO/IEC and IEEE AI standards; CISA and NSA AI security resources</ns0:t>
            </ns0:r>
          </ns0:p>
        </ns0:tc>
      </ns0:tr>
      <ns0:tr>
        <ns0:tc>
          <ns0:tcPr>
            <ns0:tcW ns0:type="dxa" ns0:w="21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Research</ns0:t>
            </ns0:r>
          </ns0:p>
        </ns0:tc>
        <ns0:tc>
          <ns0:tcPr>
            <ns0:tcW ns0:type="dxa" ns0:w="72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Noy and Zhang; Brynjolfsson, Li and Raymond; Bastani and colleagues; Lee and colleagues; human-AI performance meta-analysis</ns0:t>
            </ns0:r>
          </ns0:p>
        </ns0:tc>
      </ns0:tr>
      <ns0:tr>
        <ns0:tc>
          <ns0:tcPr>
            <ns0:tcW ns0:type="dxa" ns0:w="21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International context</ns0:t>
            </ns0:r>
          </ns0:p>
        </ns0:tc>
        <ns0:tc>
          <ns0:tcPr>
            <ns0:tcW ns0:type="dxa" ns0:w="72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European Commission and AI Office; OECD/GPAI; Council of Europe; United Kingdom and other national AI-safety institutes; International AI Safety Report</ns0:t>
            </ns0:r>
          </ns0:p>
        </ns0:tc>
      </ns0:tr>
      <ns0:tr>
        <ns0:tc>
          <ns0:tcPr>
            <ns0:tcW ns0:type="dxa" ns0:w="21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Threat and crime records</ns0:t>
            </ns0:r>
          </ns0:p>
        </ns0:tc>
        <ns0:tc>
          <ns0:tcPr>
            <ns0:tcW ns0:type="dxa" ns0:w="72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FBI, DOJ, Treasury/FinCEN, Europol and ODNI records; company threat reports treated as interested-source evidence</ns0:t>
            </ns0:r>
          </ns0:p>
        </ns0:tc>
      </ns0:tr>
      <ns0:tr>
        <ns0:tc>
          <ns0:tcPr>
            <ns0:tcW ns0:type="dxa" ns0:w="210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Public trust and history</ns0:t>
            </ns0:r>
          </ns0:p>
        </ns0:tc>
        <ns0:tc>
          <ns0:tcPr>
            <ns0:tcW ns0:type="dxa" ns0:w="7260"/>
            <ns0:tcMar>
              <ns0:top ns0:w="80" ns0:type="dxa"/>
              <ns0:start ns0:w="120" ns0:type="dxa"/>
              <ns0:bottom ns0:w="80" ns0:type="dxa"/>
              <ns0:end ns0:w="120" ns0:type="dxa"/>
            </ns0:tcMar>
            <ns0:vAlign ns0:val="center"/>
          </ns0:tcPr>
          <ns0:p>
            <ns0:pPr>
              <ns0:widowControl/>
              <ns0:spacing ns0:before="0" ns0:after="40" ns0:line="269" ns0:lineRule="auto"/>
            </ns0:pPr>
            <ns0:r>
              <ns0:rPr>
                <ns0:rFonts ns0:ascii="Calibri" ns0:hAnsi="Calibri"/>
                <ns0:color ns0:val="18212A"/>
                <ns0:sz ns0:val="17"/>
              </ns0:rPr>
              <ns0:t>NORC General Social Survey; ANES; Pew; Gallup; National Archives; Library of Congress</ns0:t>
            </ns0:r>
          </ns0:p>
        </ns0:tc>
      </ns0:tr>
    </ns0:tbl>
    <ns0:p>
      <ns0:pPr>
        <ns0:spacing ns0:after="0" ns0:before="160"/>
      </ns0:pPr>
    </ns0:p>
    <ns0:p>
      <ns0:pPr>
        <ns0:widowControl/>
      </ns0:pPr>
      <ns0:r>
        <ns0:t>This concise edition is a visual synthesis of the full investigation. It does not eliminate the need to inspect the complete working paper, archived model transcripts and original sources before publication or high-consequence use.</ns0:t>
      </ns0:r>
    </ns0:p>
    <ns0:sectPr ns0:rsidR="00FC693F" ns0:rsidRPr="0006063C" ns0:rsidSect="00034616">
      <ns0:footerReference ns0:type="default" ns5:id="rId9"/>
      <ns0:pgSz ns0:w="12240" ns0:h="15840"/>
      <ns0:pgMar ns0:top="1440" ns0:right="1440" ns0:bottom="1440" ns0:left="1440" ns0:header="708" ns0:footer="708" ns0:gutter="0"/>
      <ns0:cols ns0:space="720"/>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6B7280"/>
        <w:sz w:val="17"/>
      </w:rPr>
      <w:t>Where Society Meets AI  |  Visual Concise Edition</w:t>
    </w:r>
  </w:p>
  <w:p>
    <w:pPr>
      <w:jc w:val="right"/>
    </w:pPr>
    <w:r>
      <w:rPr>
        <w:color w:val="6B7280"/>
        <w:sz w:val="17"/>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before="0"/>
    </w:pPr>
    <w:rPr>
      <w:rFonts w:ascii="Calibri" w:hAnsi="Calibri"/>
      <w:color w:val="1821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59"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64"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80" w:after="80" w:line="269"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288"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288"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